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B92896D" w:rsidP="4FD0EDE3" w:rsidRDefault="0B92896D" w14:paraId="03F2AB6A" w14:textId="26FD458A">
      <w:pPr>
        <w:pStyle w:val="Normal"/>
        <w:spacing w:after="160" w:line="259" w:lineRule="auto"/>
        <w:ind w:left="79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</w:pPr>
      <w:r w:rsidRPr="4FD0EDE3" w:rsidR="0B92896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01.05.2021 </w:t>
      </w:r>
    </w:p>
    <w:p w:rsidR="0B92896D" w:rsidP="4FD0EDE3" w:rsidRDefault="0B92896D" w14:paraId="302755F8" w14:textId="0844488F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nb-NO"/>
        </w:rPr>
      </w:pPr>
      <w:r w:rsidRPr="4FD0EDE3" w:rsidR="0B92896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nb-NO"/>
        </w:rPr>
        <w:t>Innspill til Høring NOU 2020: 14 Ny barnelov</w:t>
      </w:r>
    </w:p>
    <w:p w:rsidRPr="00C43BEE" w:rsidR="00F86923" w:rsidP="4FD0EDE3" w:rsidRDefault="00F86923" w14:paraId="5A40B81E" w14:textId="5B96F37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 w:themeColor="text1" w:themeTint="FF" w:themeShade="FF"/>
          <w:sz w:val="22"/>
          <w:szCs w:val="22"/>
          <w:lang w:val="nb-NO"/>
        </w:rPr>
      </w:pPr>
      <w:r w:rsidRPr="4FD0EDE3" w:rsidR="4D0BF00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Nasjonalt SRHR-nettverk vil takke for muligheten til å gi innspill til </w:t>
      </w:r>
      <w:r w:rsidRPr="4FD0EDE3" w:rsidR="148A8F3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2"/>
          <w:szCs w:val="22"/>
          <w:lang w:val="nb-NO"/>
        </w:rPr>
        <w:t>Høring NOU 2020: 14 Ny barnelov</w:t>
      </w:r>
      <w:r w:rsidRPr="4FD0EDE3" w:rsidR="4D0BF00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>. Nasjonalt SRHR-nettverk samler aktører som jobber innenfor feltet seksuell og reproduktiv helse og rettigheter (SRHR). Målet er å sikre samordning mot et felles mål hvor alle i Norge får oppfylt sine seksuelle og reproduktive rettigheter og hvor alle har best mulig seksuell og reproduktiv helse, uavhengig av alder, kjønn, geografi eller andre sosiale forhold eller faktorer.</w:t>
      </w:r>
    </w:p>
    <w:p w:rsidR="7BFC1E4E" w:rsidP="4FD0EDE3" w:rsidRDefault="7BFC1E4E" w14:paraId="002F219F" w14:textId="229209EC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4FD0EDE3" w:rsidR="7BFC1E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Nasjonalt SRHR-nettverk ønsker å understreke at alle barn ha</w:t>
      </w:r>
      <w:r w:rsidRPr="4FD0EDE3" w:rsidR="523C79A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r</w:t>
      </w:r>
      <w:r w:rsidRPr="4FD0EDE3" w:rsidR="7BFC1E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rett til kunnskap om kropp og seksualitet. Alle barn har rett på tilgang til helsetjenester som dekker fysisk, psykisk og seksuell helse uavhengig av bakgrunn, utfordringer og identitet.</w:t>
      </w:r>
    </w:p>
    <w:p w:rsidR="4D0BF001" w:rsidP="4FD0EDE3" w:rsidRDefault="4D0BF001" w14:paraId="7CB9BB83" w14:textId="1015025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 w:themeColor="text1" w:themeTint="FF" w:themeShade="FF"/>
          <w:sz w:val="22"/>
          <w:szCs w:val="22"/>
          <w:lang w:val="nb-NO"/>
        </w:rPr>
      </w:pPr>
      <w:r w:rsidRPr="4FD0EDE3" w:rsidR="4D0BF00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>Undertegnende medlemmer av Nasjonalt SRHR-nettverk</w:t>
      </w:r>
      <w:r w:rsidRPr="4FD0EDE3" w:rsidR="4157E47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 ønsker å trekke frem følgende punkter</w:t>
      </w:r>
      <w:r w:rsidRPr="4FD0EDE3" w:rsidR="508E737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 i vårt innspill</w:t>
      </w:r>
      <w:r w:rsidRPr="4FD0EDE3" w:rsidR="4157E47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: </w:t>
      </w:r>
    </w:p>
    <w:p w:rsidR="1B3B4912" w:rsidP="4FD0EDE3" w:rsidRDefault="1B3B4912" w14:paraId="09FE242D" w14:textId="7AEAA4B8">
      <w:pPr>
        <w:pStyle w:val="Listeavsnitt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4FD0EDE3" w:rsidR="1B3B49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>B</w:t>
      </w:r>
      <w:r w:rsidRPr="4FD0EDE3" w:rsidR="4BAC2C8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arneloven bør være kjønnsnøytral, </w:t>
      </w:r>
      <w:r w:rsidRPr="4FD0EDE3" w:rsidR="5E2E348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slik </w:t>
      </w:r>
      <w:r w:rsidRPr="4FD0EDE3" w:rsidR="4BAC2C8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som i Sverige. </w:t>
      </w:r>
      <w:r w:rsidRPr="4FD0EDE3" w:rsidR="4BAC2C8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>Utvalget</w:t>
      </w:r>
      <w:r w:rsidRPr="4FD0EDE3" w:rsidR="4BAC2C8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 sier dette ikke ble gjennomført p</w:t>
      </w:r>
      <w:r w:rsidRPr="4FD0EDE3" w:rsidR="30627B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>å grunn av</w:t>
      </w:r>
      <w:r w:rsidRPr="4FD0EDE3" w:rsidR="4BAC2C8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 kapasitetsutfordringer, men det burde være en prioritering.</w:t>
      </w:r>
    </w:p>
    <w:p w:rsidR="70FAF6A1" w:rsidP="4FD0EDE3" w:rsidRDefault="70FAF6A1" w14:paraId="1ABF91AC" w14:textId="3C4A0E3E">
      <w:pPr>
        <w:pStyle w:val="Listeavsnitt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 w:themeColor="text1" w:themeTint="FF" w:themeShade="FF"/>
          <w:sz w:val="22"/>
          <w:szCs w:val="22"/>
          <w:lang w:val="nb-NO"/>
        </w:rPr>
      </w:pPr>
      <w:r w:rsidRPr="4FD0EDE3" w:rsidR="25BA9A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>Nasjonalt SRHR-nettverk s</w:t>
      </w:r>
      <w:r w:rsidRPr="4FD0EDE3" w:rsidR="70FAF6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tøtter at rapporten tar i bruk betegnelsen </w:t>
      </w:r>
      <w:r w:rsidRPr="4FD0EDE3" w:rsidR="70FAF6A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2"/>
          <w:szCs w:val="22"/>
          <w:lang w:val="nb-NO"/>
        </w:rPr>
        <w:t>foreldreskap</w:t>
      </w:r>
      <w:r w:rsidRPr="4FD0EDE3" w:rsidR="619F39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 </w:t>
      </w:r>
      <w:r w:rsidRPr="4FD0EDE3" w:rsidR="70FAF6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>som et kjønnsnøytralt erstatning for far- og morskap.</w:t>
      </w:r>
      <w:r w:rsidRPr="4FD0EDE3" w:rsidR="3AE3A7B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 Kjønnsnøytrale benevnelser er imidlertid ikke gjennomført konsekvent, fordi utvalget fremdeles benytter benevnelsene mor, far og medmor der de mener det er nødvendig. Nasjonalt SRHR-nettverk mener det bør være konsekvent </w:t>
      </w:r>
      <w:r w:rsidRPr="4FD0EDE3" w:rsidR="08C5C6B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kjønnsnøytralt, </w:t>
      </w:r>
      <w:r w:rsidRPr="4FD0EDE3" w:rsidR="3AE3A7B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 xml:space="preserve">slik at man favner alle familieformer. </w:t>
      </w:r>
    </w:p>
    <w:p w:rsidR="1B2F2ED2" w:rsidP="4FD0EDE3" w:rsidRDefault="1B2F2ED2" w14:paraId="6E9C2A02" w14:textId="77848738">
      <w:pPr>
        <w:pStyle w:val="Listeavsnitt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4FD0EDE3" w:rsidR="3969B7B0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Rapporten t</w:t>
      </w:r>
      <w:r w:rsidRPr="4FD0EDE3" w:rsidR="1B2F2ED2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ar ikke høyde for at ikke-binære også er foreldre</w:t>
      </w:r>
      <w:r w:rsidRPr="4FD0EDE3" w:rsidR="54003090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,</w:t>
      </w:r>
      <w:r w:rsidRPr="4FD0EDE3" w:rsidR="1B2F2ED2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 og at transmenn også </w:t>
      </w:r>
      <w:r w:rsidRPr="4FD0EDE3" w:rsidR="2A2975A9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kan </w:t>
      </w:r>
      <w:r w:rsidRPr="4FD0EDE3" w:rsidR="1B2F2ED2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være </w:t>
      </w:r>
      <w:proofErr w:type="spellStart"/>
      <w:r w:rsidRPr="4FD0EDE3" w:rsidR="1B2F2ED2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fødeforelder</w:t>
      </w:r>
      <w:r w:rsidRPr="4FD0EDE3" w:rsidR="1B2F2ED2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e</w:t>
      </w:r>
      <w:proofErr w:type="spellEnd"/>
      <w:r w:rsidRPr="4FD0EDE3" w:rsidR="1B2F2ED2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. </w:t>
      </w:r>
      <w:r w:rsidRPr="4FD0EDE3" w:rsidR="3BD910AF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Nasjonalt SRHR-nettverk mener dette bør inkluderes. </w:t>
      </w:r>
    </w:p>
    <w:p w:rsidR="4BAC2C81" w:rsidP="4FD0EDE3" w:rsidRDefault="4BAC2C81" w14:paraId="5F1E75D5" w14:textId="4C969C88">
      <w:pPr>
        <w:pStyle w:val="Listeavsnitt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</w:pPr>
      <w:r w:rsidRPr="4FD0EDE3" w:rsidR="6E5C6B0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I dag kan et barn maksimalt </w:t>
      </w:r>
      <w:r w:rsidRPr="4FD0EDE3" w:rsidR="5BCF3EA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ha </w:t>
      </w:r>
      <w:r w:rsidRPr="4FD0EDE3" w:rsidR="6E5C6B0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to juridiske foreldre. </w:t>
      </w:r>
      <w:r w:rsidRPr="4FD0EDE3" w:rsidR="35B87CBA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Det er mange ulike både n</w:t>
      </w:r>
      <w:r w:rsidRPr="4FD0EDE3" w:rsidR="4BAC2C81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åværende og kommende former for familier </w:t>
      </w:r>
      <w:r w:rsidRPr="4FD0EDE3" w:rsidR="5369D215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som ikke nødvendigvis baserer seg på to foreldre. </w:t>
      </w:r>
      <w:r w:rsidRPr="4FD0EDE3" w:rsidR="4BAC2C81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Det kan være skilsmissebarn, barn som er kommet til ved at flere par går sammen om å få barn, barn i </w:t>
      </w:r>
      <w:proofErr w:type="spellStart"/>
      <w:r w:rsidRPr="4FD0EDE3" w:rsidR="4BAC2C81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poly</w:t>
      </w:r>
      <w:proofErr w:type="spellEnd"/>
      <w:r w:rsidRPr="4FD0EDE3" w:rsidR="4BAC2C81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-familier og mange</w:t>
      </w:r>
      <w:r w:rsidRPr="4FD0EDE3" w:rsidR="524542A4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 andre ulike f</w:t>
      </w:r>
      <w:r w:rsidRPr="4FD0EDE3" w:rsidR="4BAC2C81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amilieformer.</w:t>
      </w:r>
      <w:r w:rsidRPr="4FD0EDE3" w:rsidR="7AB19C35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 Nasjonalt SRHR-nettverk mener det bør utredes for å åpne opp for flere enn to foreldre. </w:t>
      </w:r>
    </w:p>
    <w:p w:rsidR="59413243" w:rsidP="4FD0EDE3" w:rsidRDefault="59413243" w14:paraId="77A7706F" w14:textId="5495AD30">
      <w:pPr>
        <w:pStyle w:val="Listeavsnitt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color w:val="auto"/>
          <w:sz w:val="22"/>
          <w:szCs w:val="22"/>
        </w:rPr>
      </w:pPr>
      <w:r w:rsidRPr="4FD0EDE3" w:rsidR="59413243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Utvalgets forslag om å øke antall timer for mekling ved Familievernkontorene er positivt. </w:t>
      </w:r>
      <w:r w:rsidRPr="4FD0EDE3" w:rsidR="21076A76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Nasjonalt SRHR-nettverk mener det er svært viktig å s</w:t>
      </w:r>
      <w:r w:rsidRPr="4FD0EDE3" w:rsidR="5F882613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ikre god k</w:t>
      </w:r>
      <w:r w:rsidRPr="4FD0EDE3" w:rsidR="4BAC2C81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ompetanse på </w:t>
      </w:r>
      <w:r w:rsidRPr="4FD0EDE3" w:rsidR="00C41EB9">
        <w:rPr>
          <w:rFonts w:ascii="Calibri" w:hAnsi="Calibri" w:eastAsia="Calibri" w:cs="Calibri"/>
          <w:noProof w:val="0"/>
          <w:sz w:val="22"/>
          <w:szCs w:val="22"/>
          <w:lang w:val="nb-NO"/>
        </w:rPr>
        <w:t>kjønns- og seksualitetsmangfold</w:t>
      </w:r>
      <w:r w:rsidRPr="4FD0EDE3" w:rsidR="1C0BB7E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på Familievernkontorene</w:t>
      </w:r>
      <w:r w:rsidRPr="4FD0EDE3" w:rsidR="2B204AEA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, slik at </w:t>
      </w:r>
      <w:r w:rsidRPr="4FD0EDE3" w:rsidR="706826BE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ansatte</w:t>
      </w:r>
      <w:r w:rsidRPr="4FD0EDE3" w:rsidR="2B204AEA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 har mulighet til å møte barn og familier med ulik bakgrunn og sammensetning på en god måte</w:t>
      </w:r>
      <w:r w:rsidRPr="4FD0EDE3" w:rsidR="7C05AAA2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.</w:t>
      </w:r>
      <w:r w:rsidRPr="4FD0EDE3" w:rsidR="0D3AA4EE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 </w:t>
      </w:r>
      <w:r w:rsidRPr="4FD0EDE3" w:rsidR="63291F33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Det er avgjørende at alle som jobber med barn og unge innehar kompetanse om seksualitet og seksuell helse. </w:t>
      </w:r>
      <w:r w:rsidRPr="4FD0EDE3" w:rsidR="03522B21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Man kan møte b</w:t>
      </w:r>
      <w:r w:rsidRPr="4FD0EDE3" w:rsidR="63291F33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arn og unge i en sårbar situasjon</w:t>
      </w:r>
      <w:r w:rsidRPr="4FD0EDE3" w:rsidR="6E21D8F8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>, som for eksempel</w:t>
      </w:r>
      <w:r w:rsidRPr="4FD0EDE3" w:rsidR="63291F33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 kan ha vært utsatt for seksuelle overgrep. Det er viktig at dette avdekkes av kompetent ansatte, og at det blir håndtert på riktig måte. </w:t>
      </w:r>
      <w:r w:rsidRPr="4FD0EDE3" w:rsidR="5D5B14FC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Seksuell helse må også ses i et helsefremmende perspektiv, samt knyttet til identitetsforståelse. </w:t>
      </w:r>
      <w:r w:rsidRPr="4FD0EDE3" w:rsidR="63291F33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Det er viktig å kunne ivareta særlige omsorgsbehov dersom </w:t>
      </w:r>
      <w:r w:rsidRPr="4FD0EDE3" w:rsidR="78B700A2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barn og unge </w:t>
      </w:r>
      <w:r w:rsidRPr="4FD0EDE3" w:rsidR="63291F33">
        <w:rPr>
          <w:rFonts w:ascii="Calibri" w:hAnsi="Calibri" w:eastAsia="Calibri" w:cs="Calibri"/>
          <w:noProof w:val="0"/>
          <w:color w:val="auto"/>
          <w:sz w:val="22"/>
          <w:szCs w:val="22"/>
          <w:lang w:val="nb-NO"/>
        </w:rPr>
        <w:t xml:space="preserve">bryter med normer for kjønn og/eller seksualitet. De kan være redde for hvordan de blir møtt ved å fortelle om seg selv, eller at de blir utsatt for sanksjoner fra omgivelsene på bakgrunn av identitet. Sanksjoner kan omhandle negativ sosial kontroll, </w:t>
      </w:r>
      <w:r w:rsidRPr="4FD0EDE3" w:rsidR="63291F33">
        <w:rPr>
          <w:rFonts w:ascii="Calibri" w:hAnsi="Calibri" w:eastAsia="Calibri" w:cs="Calibri"/>
          <w:color w:val="auto"/>
          <w:sz w:val="22"/>
          <w:szCs w:val="22"/>
        </w:rPr>
        <w:t>og ulike former for vold på bakgrunn av at foreldre eller omgivelsene ikke aksepterer barnets kjønnsidentitet eller seksuell orientering. Det kan ha store konsekvenser for barnets psykiske helse og utvikling å leve i et omsorgsmiljø hvor man møter sanksjonering og manglende anerkjennelse for den man er.</w:t>
      </w:r>
    </w:p>
    <w:p w:rsidRPr="00C43BEE" w:rsidR="00F86923" w:rsidP="4FD0EDE3" w:rsidRDefault="00F86923" w14:paraId="37ED2473" w14:textId="6912A93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 w:themeColor="text1" w:themeTint="FF" w:themeShade="FF"/>
          <w:sz w:val="22"/>
          <w:szCs w:val="22"/>
          <w:lang w:val="nb-NO"/>
        </w:rPr>
      </w:pPr>
      <w:r w:rsidRPr="4FD0EDE3" w:rsidR="4D0BF00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nb-NO"/>
        </w:rPr>
        <w:t>Følgende medlemmer av Nasjonalt SRHR-nettverk støtter dette innspillet:</w:t>
      </w:r>
    </w:p>
    <w:p w:rsidRPr="00C43BEE" w:rsidR="00F86923" w:rsidP="4FD0EDE3" w:rsidRDefault="00F86923" w14:paraId="4F179579" w14:textId="6C9B292C">
      <w:pPr>
        <w:pStyle w:val="Normal"/>
        <w:rPr>
          <w:color w:val="auto"/>
        </w:rPr>
      </w:pPr>
    </w:p>
    <w:sectPr w:rsidRPr="00C43BEE" w:rsidR="00F86923" w:rsidSect="005F573B">
      <w:headerReference w:type="default" r:id="rId11"/>
      <w:footerReference w:type="default" r:id="rId12"/>
      <w:type w:val="continuous"/>
      <w:pgSz w:w="11900" w:h="16840" w:orient="portrait"/>
      <w:pgMar w:top="1417" w:right="1552" w:bottom="1417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DAD732" w16cid:durableId="1F6F73F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C7" w:rsidP="006E2763" w:rsidRDefault="00DA4AC7" w14:paraId="4125A37D" w14:textId="77777777">
      <w:r>
        <w:separator/>
      </w:r>
    </w:p>
  </w:endnote>
  <w:endnote w:type="continuationSeparator" w:id="0">
    <w:p w:rsidR="00DA4AC7" w:rsidP="006E2763" w:rsidRDefault="00DA4AC7" w14:paraId="30A5FB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6606A" w:rsidR="0046606A" w:rsidRDefault="0046606A" w14:paraId="3335BB84" w14:textId="77777777">
    <w:pPr>
      <w:pStyle w:val="Bunntekst"/>
      <w:rPr>
        <w:rFonts w:ascii="Microsoft Yi Baiti" w:hAnsi="Microsoft Yi Baiti" w:eastAsia="Microsoft Yi Baiti"/>
      </w:rPr>
    </w:pPr>
    <w:r w:rsidRPr="0046606A">
      <w:rPr>
        <w:rFonts w:hint="eastAsia" w:ascii="Microsoft Yi Baiti" w:hAnsi="Microsoft Yi Baiti" w:eastAsia="Microsoft Yi Baiti"/>
      </w:rPr>
      <w:t>Nasjonalt SRHR-nettverk</w:t>
    </w:r>
    <w:r w:rsidRPr="0046606A">
      <w:rPr>
        <w:rFonts w:hint="eastAsia" w:ascii="Microsoft Yi Baiti" w:hAnsi="Microsoft Yi Baiti" w:eastAsia="Microsoft Yi Baiti"/>
      </w:rPr>
      <w:tab/>
    </w:r>
    <w:r w:rsidRPr="0046606A">
      <w:rPr>
        <w:rFonts w:hint="eastAsia" w:ascii="Microsoft Yi Baiti" w:hAnsi="Microsoft Yi Baiti" w:eastAsia="Microsoft Yi Baiti"/>
      </w:rPr>
      <w:tab/>
    </w:r>
    <w:r w:rsidRPr="0046606A">
      <w:rPr>
        <w:rFonts w:hint="eastAsia" w:ascii="Microsoft Yi Baiti" w:hAnsi="Microsoft Yi Baiti" w:eastAsia="Microsoft Yi Baiti"/>
      </w:rPr>
      <w:t>www.srhr.no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C7" w:rsidP="006E2763" w:rsidRDefault="00DA4AC7" w14:paraId="74F65A03" w14:textId="77777777">
      <w:r>
        <w:separator/>
      </w:r>
    </w:p>
  </w:footnote>
  <w:footnote w:type="continuationSeparator" w:id="0">
    <w:p w:rsidR="00DA4AC7" w:rsidP="006E2763" w:rsidRDefault="00DA4AC7" w14:paraId="4AE594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46606A" w:rsidRDefault="0046606A" w14:paraId="1311D2C7" w14:textId="77777777">
    <w:pPr>
      <w:pStyle w:val="Topptekst"/>
    </w:pPr>
    <w:r w:rsidR="4FD0EDE3">
      <w:drawing>
        <wp:inline wp14:editId="55244808" wp14:anchorId="55E7D20B">
          <wp:extent cx="701871" cy="701871"/>
          <wp:effectExtent l="0" t="0" r="9525" b="9525"/>
          <wp:docPr id="3" name="Bilde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3"/>
                  <pic:cNvPicPr/>
                </pic:nvPicPr>
                <pic:blipFill>
                  <a:blip r:embed="R6183c1191a52479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01871" cy="70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6CBB" w:rsidRDefault="00AB6CBB" w14:paraId="2DCFC4D5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7E7D4A"/>
    <w:multiLevelType w:val="hybridMultilevel"/>
    <w:tmpl w:val="72468A3E"/>
    <w:lvl w:ilvl="0" w:tplc="06AA2A12">
      <w:numFmt w:val="bullet"/>
      <w:lvlText w:val="•"/>
      <w:lvlJc w:val="left"/>
      <w:pPr>
        <w:ind w:left="1080" w:hanging="720"/>
      </w:pPr>
      <w:rPr>
        <w:rFonts w:hint="eastAsia" w:ascii="Microsoft Yi Baiti" w:hAnsi="Microsoft Yi Baiti" w:eastAsia="Microsoft Yi Baiti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334A14"/>
    <w:multiLevelType w:val="hybridMultilevel"/>
    <w:tmpl w:val="440AC6A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F96866"/>
    <w:multiLevelType w:val="multilevel"/>
    <w:tmpl w:val="B9B6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C58746E"/>
    <w:multiLevelType w:val="hybridMultilevel"/>
    <w:tmpl w:val="FA7AC84C"/>
    <w:lvl w:ilvl="0" w:tplc="DCB0D8AE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A72D33"/>
    <w:multiLevelType w:val="hybridMultilevel"/>
    <w:tmpl w:val="80F22F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2AA3CF1"/>
    <w:multiLevelType w:val="hybridMultilevel"/>
    <w:tmpl w:val="34760C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1FE3D2B"/>
    <w:multiLevelType w:val="hybridMultilevel"/>
    <w:tmpl w:val="D2D254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A447CBE"/>
    <w:multiLevelType w:val="hybridMultilevel"/>
    <w:tmpl w:val="A2982600"/>
    <w:lvl w:ilvl="0" w:tplc="DCB0D8AE">
      <w:numFmt w:val="bullet"/>
      <w:lvlText w:val="•"/>
      <w:lvlJc w:val="left"/>
      <w:pPr>
        <w:ind w:left="1440" w:hanging="72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70247423"/>
    <w:multiLevelType w:val="hybridMultilevel"/>
    <w:tmpl w:val="0696F30C"/>
    <w:lvl w:ilvl="0" w:tplc="DCB0D8AE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F8847F7"/>
    <w:multiLevelType w:val="hybridMultilevel"/>
    <w:tmpl w:val="24621E0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FC57CC5"/>
    <w:multiLevelType w:val="hybridMultilevel"/>
    <w:tmpl w:val="CA0017C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63"/>
    <w:rsid w:val="00002836"/>
    <w:rsid w:val="0004077D"/>
    <w:rsid w:val="00051BDC"/>
    <w:rsid w:val="000B7B67"/>
    <w:rsid w:val="000D4773"/>
    <w:rsid w:val="00127878"/>
    <w:rsid w:val="00143639"/>
    <w:rsid w:val="001564A9"/>
    <w:rsid w:val="00190412"/>
    <w:rsid w:val="001909BF"/>
    <w:rsid w:val="00201626"/>
    <w:rsid w:val="002378CC"/>
    <w:rsid w:val="00247864"/>
    <w:rsid w:val="00266548"/>
    <w:rsid w:val="002701AF"/>
    <w:rsid w:val="002E1BE4"/>
    <w:rsid w:val="002F6AE3"/>
    <w:rsid w:val="0032527B"/>
    <w:rsid w:val="00395BAB"/>
    <w:rsid w:val="003F005B"/>
    <w:rsid w:val="00421B36"/>
    <w:rsid w:val="004335C2"/>
    <w:rsid w:val="00456FCA"/>
    <w:rsid w:val="0046606A"/>
    <w:rsid w:val="00467AE7"/>
    <w:rsid w:val="004875D8"/>
    <w:rsid w:val="00491C9D"/>
    <w:rsid w:val="004A57B3"/>
    <w:rsid w:val="004B14D1"/>
    <w:rsid w:val="004E749D"/>
    <w:rsid w:val="005178A7"/>
    <w:rsid w:val="00541731"/>
    <w:rsid w:val="00552385"/>
    <w:rsid w:val="00573BB1"/>
    <w:rsid w:val="005C2C17"/>
    <w:rsid w:val="005C4DC6"/>
    <w:rsid w:val="005F573B"/>
    <w:rsid w:val="00646149"/>
    <w:rsid w:val="00687DCD"/>
    <w:rsid w:val="006E2763"/>
    <w:rsid w:val="007115EC"/>
    <w:rsid w:val="00732582"/>
    <w:rsid w:val="00755ED8"/>
    <w:rsid w:val="007576E1"/>
    <w:rsid w:val="00767A53"/>
    <w:rsid w:val="0078398A"/>
    <w:rsid w:val="007844A6"/>
    <w:rsid w:val="007D766C"/>
    <w:rsid w:val="007E4079"/>
    <w:rsid w:val="007E5B51"/>
    <w:rsid w:val="007F6FFC"/>
    <w:rsid w:val="008A2D0B"/>
    <w:rsid w:val="008A63A6"/>
    <w:rsid w:val="008B489C"/>
    <w:rsid w:val="008D689B"/>
    <w:rsid w:val="009231DF"/>
    <w:rsid w:val="009427C8"/>
    <w:rsid w:val="00972CAC"/>
    <w:rsid w:val="00A51D6F"/>
    <w:rsid w:val="00A95CFF"/>
    <w:rsid w:val="00AB6CBB"/>
    <w:rsid w:val="00AD26CA"/>
    <w:rsid w:val="00AD4903"/>
    <w:rsid w:val="00AF1513"/>
    <w:rsid w:val="00B13346"/>
    <w:rsid w:val="00B61C0D"/>
    <w:rsid w:val="00B764AE"/>
    <w:rsid w:val="00BA4041"/>
    <w:rsid w:val="00BB228D"/>
    <w:rsid w:val="00BE2099"/>
    <w:rsid w:val="00C07C5D"/>
    <w:rsid w:val="00C1152F"/>
    <w:rsid w:val="00C33BD9"/>
    <w:rsid w:val="00C41EB9"/>
    <w:rsid w:val="00C43BEE"/>
    <w:rsid w:val="00C45268"/>
    <w:rsid w:val="00C473EA"/>
    <w:rsid w:val="00CC6E6D"/>
    <w:rsid w:val="00D17591"/>
    <w:rsid w:val="00D931F9"/>
    <w:rsid w:val="00DA4AC7"/>
    <w:rsid w:val="00DE0ADC"/>
    <w:rsid w:val="00E0213C"/>
    <w:rsid w:val="00E201E0"/>
    <w:rsid w:val="00E61F20"/>
    <w:rsid w:val="00E75859"/>
    <w:rsid w:val="00E940D0"/>
    <w:rsid w:val="00EA72C9"/>
    <w:rsid w:val="00F46B10"/>
    <w:rsid w:val="00F53815"/>
    <w:rsid w:val="00F64464"/>
    <w:rsid w:val="00F86923"/>
    <w:rsid w:val="00F86C95"/>
    <w:rsid w:val="00FF7B8E"/>
    <w:rsid w:val="03522B21"/>
    <w:rsid w:val="07A7EEC2"/>
    <w:rsid w:val="07CE16EC"/>
    <w:rsid w:val="08C5C6B9"/>
    <w:rsid w:val="0931BA03"/>
    <w:rsid w:val="097A41F5"/>
    <w:rsid w:val="0B33963B"/>
    <w:rsid w:val="0B92896D"/>
    <w:rsid w:val="0C3C2B6D"/>
    <w:rsid w:val="0D3AA4EE"/>
    <w:rsid w:val="0FBC977D"/>
    <w:rsid w:val="106F410F"/>
    <w:rsid w:val="1081363F"/>
    <w:rsid w:val="118093E7"/>
    <w:rsid w:val="11C803CA"/>
    <w:rsid w:val="121E95D7"/>
    <w:rsid w:val="13791029"/>
    <w:rsid w:val="148A8F3D"/>
    <w:rsid w:val="14937197"/>
    <w:rsid w:val="14C66DC8"/>
    <w:rsid w:val="19E1A5BC"/>
    <w:rsid w:val="1B2F2ED2"/>
    <w:rsid w:val="1B3B4912"/>
    <w:rsid w:val="1C0BB7EE"/>
    <w:rsid w:val="203EBB6B"/>
    <w:rsid w:val="21076A76"/>
    <w:rsid w:val="248B5ABD"/>
    <w:rsid w:val="25118692"/>
    <w:rsid w:val="25BA9AB8"/>
    <w:rsid w:val="2665A055"/>
    <w:rsid w:val="26871A6F"/>
    <w:rsid w:val="28170236"/>
    <w:rsid w:val="281846DF"/>
    <w:rsid w:val="29ADB1C7"/>
    <w:rsid w:val="2A2975A9"/>
    <w:rsid w:val="2B204AEA"/>
    <w:rsid w:val="30627BA7"/>
    <w:rsid w:val="310BD059"/>
    <w:rsid w:val="338D3E24"/>
    <w:rsid w:val="33FC700E"/>
    <w:rsid w:val="3591B543"/>
    <w:rsid w:val="35B87CBA"/>
    <w:rsid w:val="376D3A39"/>
    <w:rsid w:val="3966549D"/>
    <w:rsid w:val="3969B7B0"/>
    <w:rsid w:val="3AE3A7B1"/>
    <w:rsid w:val="3BD910AF"/>
    <w:rsid w:val="3E368E7E"/>
    <w:rsid w:val="3F42C53E"/>
    <w:rsid w:val="40D920CE"/>
    <w:rsid w:val="4157E47E"/>
    <w:rsid w:val="42BA8B76"/>
    <w:rsid w:val="450656CB"/>
    <w:rsid w:val="476FAD65"/>
    <w:rsid w:val="478213FF"/>
    <w:rsid w:val="483DF78D"/>
    <w:rsid w:val="485B3079"/>
    <w:rsid w:val="4BAC2C81"/>
    <w:rsid w:val="4BD9679C"/>
    <w:rsid w:val="4D0BF001"/>
    <w:rsid w:val="4DE88CCA"/>
    <w:rsid w:val="4FD0EDE3"/>
    <w:rsid w:val="508E737F"/>
    <w:rsid w:val="5204DADF"/>
    <w:rsid w:val="523C79A2"/>
    <w:rsid w:val="524542A4"/>
    <w:rsid w:val="527DBFBC"/>
    <w:rsid w:val="52926947"/>
    <w:rsid w:val="5369D215"/>
    <w:rsid w:val="538AAB0C"/>
    <w:rsid w:val="54003090"/>
    <w:rsid w:val="553C7BA1"/>
    <w:rsid w:val="5646BF58"/>
    <w:rsid w:val="59413243"/>
    <w:rsid w:val="5BCF3EAB"/>
    <w:rsid w:val="5C9663E0"/>
    <w:rsid w:val="5D1864F5"/>
    <w:rsid w:val="5D2DF18A"/>
    <w:rsid w:val="5D5B14FC"/>
    <w:rsid w:val="5E2E348F"/>
    <w:rsid w:val="5EE213E3"/>
    <w:rsid w:val="5F882613"/>
    <w:rsid w:val="6011D5E4"/>
    <w:rsid w:val="60F9A25C"/>
    <w:rsid w:val="619F395B"/>
    <w:rsid w:val="63291F33"/>
    <w:rsid w:val="65B03DA1"/>
    <w:rsid w:val="66E71AB9"/>
    <w:rsid w:val="697CB91C"/>
    <w:rsid w:val="6A920036"/>
    <w:rsid w:val="6AA4CF9F"/>
    <w:rsid w:val="6AEFA510"/>
    <w:rsid w:val="6DE1CD36"/>
    <w:rsid w:val="6E21D8F8"/>
    <w:rsid w:val="6E5C6B05"/>
    <w:rsid w:val="6EBC34FB"/>
    <w:rsid w:val="6FF5C7D9"/>
    <w:rsid w:val="7067B8B8"/>
    <w:rsid w:val="706826BE"/>
    <w:rsid w:val="70FAF6A1"/>
    <w:rsid w:val="7637D578"/>
    <w:rsid w:val="766C5ADE"/>
    <w:rsid w:val="76BA2F56"/>
    <w:rsid w:val="77595F3B"/>
    <w:rsid w:val="77D055AF"/>
    <w:rsid w:val="78B700A2"/>
    <w:rsid w:val="7AB19C35"/>
    <w:rsid w:val="7BFC1E4E"/>
    <w:rsid w:val="7C05AAA2"/>
    <w:rsid w:val="7CA67463"/>
    <w:rsid w:val="7CD0D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C7FEA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6E2763"/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6E2763"/>
    <w:rPr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E2763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46606A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6606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46606A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6606A"/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EA72C9"/>
    <w:rPr>
      <w:color w:val="0563C1" w:themeColor="hyperlink"/>
      <w:u w:val="single"/>
    </w:rPr>
  </w:style>
  <w:style w:type="character" w:styleId="UnresolvedMention" w:customStyle="1">
    <w:name w:val="Unresolved Mention"/>
    <w:basedOn w:val="Standardskriftforavsnitt"/>
    <w:uiPriority w:val="99"/>
    <w:rsid w:val="00EA72C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8A63A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2787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7878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27878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7878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27878"/>
    <w:rPr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7878"/>
    <w:rPr>
      <w:rFonts w:ascii="Times New Roman" w:hAnsi="Times New Roman" w:cs="Times New Roman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27878"/>
    <w:rPr>
      <w:rFonts w:ascii="Times New Roman" w:hAnsi="Times New Roman" w:cs="Times New Roman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1" /><Relationship Type="http://schemas.openxmlformats.org/officeDocument/2006/relationships/footer" Target="footer1.xml" Id="rId12" /><Relationship Type="http://schemas.openxmlformats.org/officeDocument/2006/relationships/fontTable" Target="fontTable.xml" Id="rId13" /><Relationship Type="http://schemas.openxmlformats.org/officeDocument/2006/relationships/theme" Target="theme/theme1.xml" Id="rId14" /><Relationship Type="http://schemas.microsoft.com/office/2016/09/relationships/commentsIds" Target="commentsIds.xml" Id="rId15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otnotes" Target="footnotes.xml" Id="rId9" /><Relationship Type="http://schemas.openxmlformats.org/officeDocument/2006/relationships/endnotes" Target="endnotes.xml" Id="rI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6183c1191a5247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6562474867B042A650CDD22674D1DB" ma:contentTypeVersion="2" ma:contentTypeDescription="Opprett et nytt dokument." ma:contentTypeScope="" ma:versionID="e57e99b2608a93eb6b9de7b472a6e1d0">
  <xsd:schema xmlns:xsd="http://www.w3.org/2001/XMLSchema" xmlns:xs="http://www.w3.org/2001/XMLSchema" xmlns:p="http://schemas.microsoft.com/office/2006/metadata/properties" xmlns:ns2="880b5d5e-b7f4-443e-b3f0-b9ce9d32b2a4" targetNamespace="http://schemas.microsoft.com/office/2006/metadata/properties" ma:root="true" ma:fieldsID="8786c0f7d3997b213caeb81aac6f841f" ns2:_="">
    <xsd:import namespace="880b5d5e-b7f4-443e-b3f0-b9ce9d32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b5d5e-b7f4-443e-b3f0-b9ce9d32b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88325-4366-40F2-A93C-A671664EB4E2}"/>
</file>

<file path=customXml/itemProps2.xml><?xml version="1.0" encoding="utf-8"?>
<ds:datastoreItem xmlns:ds="http://schemas.openxmlformats.org/officeDocument/2006/customXml" ds:itemID="{352DE0D2-794D-4F18-B754-1A76846D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BF135-9280-4B05-8EE7-7E088A2B4D01}">
  <ds:schemaRefs>
    <ds:schemaRef ds:uri="http://purl.org/dc/elements/1.1/"/>
    <ds:schemaRef ds:uri="73da47c5-1be3-47be-9e01-4e307c26cbee"/>
    <ds:schemaRef ds:uri="http://www.w3.org/XML/1998/namespace"/>
    <ds:schemaRef ds:uri="de2c50d0-3e71-45be-8b09-eab575f8e29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9E031B-7336-0843-BBCA-3A6023217C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Aurora Eck Nilsen</lastModifiedBy>
  <revision>8</revision>
  <lastPrinted>2018-10-18T06:17:00.0000000Z</lastPrinted>
  <dcterms:created xsi:type="dcterms:W3CDTF">2019-02-28T09:06:00.0000000Z</dcterms:created>
  <dcterms:modified xsi:type="dcterms:W3CDTF">2021-04-26T07:29:29.2104015Z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0x010100706562474867B042A650CDD22674D1DB</vt:lpwstr>
  </property>
</Properties>
</file>