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C13" w:rsidRPr="00C104BD" w:rsidRDefault="00251C13">
      <w:pPr>
        <w:rPr>
          <w:rFonts w:asciiTheme="minorHAnsi" w:hAnsiTheme="minorHAnsi" w:cstheme="minorHAnsi"/>
          <w:b/>
          <w:sz w:val="32"/>
          <w:szCs w:val="32"/>
        </w:rPr>
      </w:pPr>
      <w:bookmarkStart w:id="0" w:name="_GoBack"/>
      <w:bookmarkEnd w:id="0"/>
      <w:r w:rsidRPr="00C104BD">
        <w:rPr>
          <w:rFonts w:asciiTheme="minorHAnsi" w:hAnsiTheme="minorHAnsi" w:cstheme="minorHAnsi"/>
          <w:b/>
          <w:sz w:val="32"/>
          <w:szCs w:val="32"/>
        </w:rPr>
        <w:t xml:space="preserve">Felles </w:t>
      </w:r>
      <w:r w:rsidR="00541A26">
        <w:rPr>
          <w:rFonts w:asciiTheme="minorHAnsi" w:hAnsiTheme="minorHAnsi" w:cstheme="minorHAnsi"/>
          <w:b/>
          <w:sz w:val="32"/>
          <w:szCs w:val="32"/>
        </w:rPr>
        <w:t>uttalelse</w:t>
      </w:r>
      <w:r w:rsidR="00816623">
        <w:rPr>
          <w:rFonts w:asciiTheme="minorHAnsi" w:hAnsiTheme="minorHAnsi" w:cstheme="minorHAnsi"/>
          <w:b/>
          <w:sz w:val="32"/>
          <w:szCs w:val="32"/>
        </w:rPr>
        <w:t xml:space="preserve"> til Norad </w:t>
      </w:r>
      <w:r w:rsidR="00EF50E7">
        <w:rPr>
          <w:rFonts w:asciiTheme="minorHAnsi" w:hAnsiTheme="minorHAnsi" w:cstheme="minorHAnsi"/>
          <w:b/>
          <w:sz w:val="32"/>
          <w:szCs w:val="32"/>
        </w:rPr>
        <w:t>om forvaltning</w:t>
      </w:r>
      <w:r w:rsidR="00816623">
        <w:rPr>
          <w:rFonts w:asciiTheme="minorHAnsi" w:hAnsiTheme="minorHAnsi" w:cstheme="minorHAnsi"/>
          <w:b/>
          <w:sz w:val="32"/>
          <w:szCs w:val="32"/>
        </w:rPr>
        <w:t xml:space="preserve"> av informasjonsstøtten</w:t>
      </w:r>
    </w:p>
    <w:p w:rsidR="004433D6" w:rsidRDefault="004433D6">
      <w:pPr>
        <w:rPr>
          <w:rFonts w:asciiTheme="minorHAnsi" w:hAnsiTheme="minorHAnsi" w:cstheme="minorHAnsi"/>
          <w:sz w:val="22"/>
          <w:szCs w:val="22"/>
        </w:rPr>
      </w:pPr>
    </w:p>
    <w:p w:rsidR="004A61AF" w:rsidRPr="00930F41" w:rsidRDefault="004A61AF">
      <w:pPr>
        <w:rPr>
          <w:rFonts w:asciiTheme="minorHAnsi" w:hAnsiTheme="minorHAnsi" w:cstheme="minorHAnsi"/>
          <w:sz w:val="22"/>
          <w:szCs w:val="22"/>
        </w:rPr>
      </w:pPr>
    </w:p>
    <w:p w:rsidR="00251C13" w:rsidRPr="00930F41" w:rsidRDefault="00251C13" w:rsidP="00251C13">
      <w:pPr>
        <w:pBdr>
          <w:bottom w:val="single" w:sz="4" w:space="1" w:color="auto"/>
        </w:pBdr>
        <w:rPr>
          <w:rFonts w:asciiTheme="minorHAnsi" w:hAnsiTheme="minorHAnsi" w:cstheme="minorHAnsi"/>
          <w:b/>
        </w:rPr>
      </w:pPr>
      <w:r w:rsidRPr="00930F41">
        <w:rPr>
          <w:rFonts w:asciiTheme="minorHAnsi" w:hAnsiTheme="minorHAnsi" w:cstheme="minorHAnsi"/>
          <w:b/>
        </w:rPr>
        <w:t>Tema 1: Reduksjon av antall organisasjoner som mottar støtte</w:t>
      </w:r>
      <w:r w:rsidR="004433D6">
        <w:rPr>
          <w:rFonts w:asciiTheme="minorHAnsi" w:hAnsiTheme="minorHAnsi" w:cstheme="minorHAnsi"/>
          <w:b/>
        </w:rPr>
        <w:t xml:space="preserve"> </w:t>
      </w:r>
    </w:p>
    <w:p w:rsidR="00251C13" w:rsidRPr="00930F41" w:rsidRDefault="00251C13">
      <w:pPr>
        <w:rPr>
          <w:rFonts w:asciiTheme="minorHAnsi" w:hAnsiTheme="minorHAnsi" w:cstheme="minorHAnsi"/>
          <w:sz w:val="22"/>
          <w:szCs w:val="22"/>
        </w:rPr>
      </w:pPr>
    </w:p>
    <w:p w:rsidR="007E2A0C" w:rsidRDefault="00A17286" w:rsidP="008C3D42">
      <w:pPr>
        <w:ind w:left="708"/>
        <w:rPr>
          <w:rFonts w:asciiTheme="minorHAnsi" w:hAnsiTheme="minorHAnsi" w:cstheme="minorHAnsi"/>
          <w:sz w:val="22"/>
          <w:szCs w:val="22"/>
        </w:rPr>
      </w:pPr>
      <w:r>
        <w:rPr>
          <w:rFonts w:asciiTheme="minorHAnsi" w:hAnsiTheme="minorHAnsi" w:cstheme="minorHAnsi"/>
          <w:sz w:val="22"/>
          <w:szCs w:val="22"/>
        </w:rPr>
        <w:t xml:space="preserve">I perioden fra 2015 til 2017 ble antallet avtaler (om støtte til informasjonsarbeid) betydelig redusert. </w:t>
      </w:r>
      <w:r w:rsidR="00251C13" w:rsidRPr="00930F41">
        <w:rPr>
          <w:rFonts w:asciiTheme="minorHAnsi" w:hAnsiTheme="minorHAnsi" w:cstheme="minorHAnsi"/>
          <w:sz w:val="22"/>
          <w:szCs w:val="22"/>
        </w:rPr>
        <w:t>Vi er bekymret for at regjeringens fokus på reduksjon av avtaler</w:t>
      </w:r>
      <w:r>
        <w:rPr>
          <w:rFonts w:asciiTheme="minorHAnsi" w:hAnsiTheme="minorHAnsi" w:cstheme="minorHAnsi"/>
          <w:sz w:val="22"/>
          <w:szCs w:val="22"/>
        </w:rPr>
        <w:t xml:space="preserve"> for å redusere forvaltningsbyrden</w:t>
      </w:r>
      <w:r w:rsidR="004F478E">
        <w:rPr>
          <w:rFonts w:asciiTheme="minorHAnsi" w:hAnsiTheme="minorHAnsi" w:cstheme="minorHAnsi"/>
          <w:sz w:val="22"/>
          <w:szCs w:val="22"/>
        </w:rPr>
        <w:t>, samt Norads fokus på at ordningen er konkurransebasert,</w:t>
      </w:r>
      <w:r w:rsidR="00251C13" w:rsidRPr="00930F41">
        <w:rPr>
          <w:rFonts w:asciiTheme="minorHAnsi" w:hAnsiTheme="minorHAnsi" w:cstheme="minorHAnsi"/>
          <w:sz w:val="22"/>
          <w:szCs w:val="22"/>
        </w:rPr>
        <w:t xml:space="preserve"> kan ha bidratt til å begrense et godt mangfold av ytringer, politisk orientering og tematikk, i strid med ordningens formål. </w:t>
      </w:r>
    </w:p>
    <w:p w:rsidR="007E2A0C" w:rsidRDefault="007E2A0C" w:rsidP="008C3D42">
      <w:pPr>
        <w:ind w:left="708"/>
        <w:rPr>
          <w:rFonts w:asciiTheme="minorHAnsi" w:hAnsiTheme="minorHAnsi" w:cstheme="minorHAnsi"/>
          <w:sz w:val="22"/>
          <w:szCs w:val="22"/>
        </w:rPr>
      </w:pPr>
    </w:p>
    <w:p w:rsidR="00ED2D64" w:rsidRPr="00930F41" w:rsidRDefault="004433D6" w:rsidP="008C3D42">
      <w:pPr>
        <w:ind w:left="708"/>
        <w:rPr>
          <w:rFonts w:asciiTheme="minorHAnsi" w:hAnsiTheme="minorHAnsi" w:cstheme="minorHAnsi"/>
          <w:sz w:val="22"/>
          <w:szCs w:val="22"/>
        </w:rPr>
      </w:pPr>
      <w:r w:rsidRPr="007E2A0C">
        <w:rPr>
          <w:rFonts w:asciiTheme="minorHAnsi" w:hAnsiTheme="minorHAnsi" w:cstheme="minorHAnsi"/>
          <w:sz w:val="22"/>
          <w:szCs w:val="22"/>
          <w:u w:val="single"/>
        </w:rPr>
        <w:t>Vi anbefaler</w:t>
      </w:r>
      <w:r w:rsidR="002C5001" w:rsidRPr="00930F41">
        <w:rPr>
          <w:rFonts w:asciiTheme="minorHAnsi" w:hAnsiTheme="minorHAnsi" w:cstheme="minorHAnsi"/>
          <w:sz w:val="22"/>
          <w:szCs w:val="22"/>
        </w:rPr>
        <w:t xml:space="preserve"> derfor at Norad, ved vurdering av søknader for neste rammeavtaleperiode, ikke vurdere</w:t>
      </w:r>
      <w:r>
        <w:rPr>
          <w:rFonts w:asciiTheme="minorHAnsi" w:hAnsiTheme="minorHAnsi" w:cstheme="minorHAnsi"/>
          <w:sz w:val="22"/>
          <w:szCs w:val="22"/>
        </w:rPr>
        <w:t>r</w:t>
      </w:r>
      <w:r w:rsidR="002C5001" w:rsidRPr="00930F41">
        <w:rPr>
          <w:rFonts w:asciiTheme="minorHAnsi" w:hAnsiTheme="minorHAnsi" w:cstheme="minorHAnsi"/>
          <w:sz w:val="22"/>
          <w:szCs w:val="22"/>
        </w:rPr>
        <w:t xml:space="preserve"> antall avtaler med utgangspunkt i et generelt ønske om færre avtaler av hensyn til forvaltningsbyrden, men ut fra hva som vil gi et hensiktsmessig mangfold og best effekt med u</w:t>
      </w:r>
      <w:r>
        <w:rPr>
          <w:rFonts w:asciiTheme="minorHAnsi" w:hAnsiTheme="minorHAnsi" w:cstheme="minorHAnsi"/>
          <w:sz w:val="22"/>
          <w:szCs w:val="22"/>
        </w:rPr>
        <w:t>tgangspunkt i ordningens formål (uavhengig om det tilsier flere eller færre avtaler).</w:t>
      </w:r>
    </w:p>
    <w:p w:rsidR="00F9136A" w:rsidRDefault="00F9136A">
      <w:pPr>
        <w:rPr>
          <w:rFonts w:asciiTheme="minorHAnsi" w:hAnsiTheme="minorHAnsi" w:cstheme="minorHAnsi"/>
          <w:sz w:val="22"/>
          <w:szCs w:val="22"/>
        </w:rPr>
      </w:pPr>
    </w:p>
    <w:p w:rsidR="004A61AF" w:rsidRPr="00930F41" w:rsidRDefault="004A61AF">
      <w:pPr>
        <w:rPr>
          <w:rFonts w:asciiTheme="minorHAnsi" w:hAnsiTheme="minorHAnsi" w:cstheme="minorHAnsi"/>
          <w:sz w:val="22"/>
          <w:szCs w:val="22"/>
        </w:rPr>
      </w:pPr>
    </w:p>
    <w:p w:rsidR="00251C13" w:rsidRPr="00930F41" w:rsidRDefault="00251C13" w:rsidP="00251C13">
      <w:pPr>
        <w:pBdr>
          <w:bottom w:val="single" w:sz="4" w:space="1" w:color="auto"/>
        </w:pBdr>
        <w:rPr>
          <w:rFonts w:asciiTheme="minorHAnsi" w:hAnsiTheme="minorHAnsi" w:cstheme="minorHAnsi"/>
          <w:b/>
        </w:rPr>
      </w:pPr>
      <w:r w:rsidRPr="00930F41">
        <w:rPr>
          <w:rFonts w:asciiTheme="minorHAnsi" w:hAnsiTheme="minorHAnsi" w:cstheme="minorHAnsi"/>
          <w:b/>
        </w:rPr>
        <w:t>Tema 2: Flerårige avtaler</w:t>
      </w:r>
      <w:r w:rsidR="004433D6">
        <w:rPr>
          <w:rFonts w:asciiTheme="minorHAnsi" w:hAnsiTheme="minorHAnsi" w:cstheme="minorHAnsi"/>
          <w:b/>
        </w:rPr>
        <w:t xml:space="preserve"> </w:t>
      </w:r>
    </w:p>
    <w:p w:rsidR="00ED2D64" w:rsidRPr="00930F41" w:rsidRDefault="00ED2D64">
      <w:pPr>
        <w:rPr>
          <w:rFonts w:asciiTheme="minorHAnsi" w:hAnsiTheme="minorHAnsi" w:cstheme="minorHAnsi"/>
          <w:sz w:val="22"/>
          <w:szCs w:val="22"/>
        </w:rPr>
      </w:pPr>
    </w:p>
    <w:p w:rsidR="007E2A0C" w:rsidRDefault="00ED2D64" w:rsidP="008C3D42">
      <w:pPr>
        <w:ind w:left="708"/>
        <w:rPr>
          <w:rFonts w:asciiTheme="minorHAnsi" w:hAnsiTheme="minorHAnsi" w:cstheme="minorHAnsi"/>
          <w:sz w:val="22"/>
          <w:szCs w:val="22"/>
        </w:rPr>
      </w:pPr>
      <w:r w:rsidRPr="00930F41">
        <w:rPr>
          <w:rFonts w:asciiTheme="minorHAnsi" w:hAnsiTheme="minorHAnsi" w:cstheme="minorHAnsi"/>
          <w:sz w:val="22"/>
          <w:szCs w:val="22"/>
        </w:rPr>
        <w:t xml:space="preserve">Flerårige avtaler om informasjonsstøtte gir viktig forutsigbarhet, som er av stor betydning for organisasjonenes informasjonsarbeid. Samtidig innebærer flerårige avtaler at den forvaltningsmessige belastningen, både for Norad og organisasjonene, blir vesentlig mindre. </w:t>
      </w:r>
      <w:r w:rsidR="007A6ECF" w:rsidRPr="00930F41">
        <w:rPr>
          <w:rFonts w:asciiTheme="minorHAnsi" w:hAnsiTheme="minorHAnsi" w:cstheme="minorHAnsi"/>
          <w:sz w:val="22"/>
          <w:szCs w:val="22"/>
        </w:rPr>
        <w:t>I tillegg vil faste rammeavtaleperioder redusere forvaltningsbyrden mer enn fleksible flerårige rammeverk (1</w:t>
      </w:r>
      <w:r w:rsidR="004433D6">
        <w:rPr>
          <w:rFonts w:asciiTheme="minorHAnsi" w:hAnsiTheme="minorHAnsi" w:cstheme="minorHAnsi"/>
          <w:sz w:val="22"/>
          <w:szCs w:val="22"/>
        </w:rPr>
        <w:t xml:space="preserve">-3/4-årige avtaler). </w:t>
      </w:r>
    </w:p>
    <w:p w:rsidR="007E2A0C" w:rsidRDefault="007E2A0C" w:rsidP="008C3D42">
      <w:pPr>
        <w:ind w:left="708"/>
        <w:rPr>
          <w:rFonts w:asciiTheme="minorHAnsi" w:hAnsiTheme="minorHAnsi" w:cstheme="minorHAnsi"/>
          <w:sz w:val="22"/>
          <w:szCs w:val="22"/>
        </w:rPr>
      </w:pPr>
    </w:p>
    <w:p w:rsidR="00767439" w:rsidRPr="00930F41" w:rsidRDefault="004433D6" w:rsidP="008C3D42">
      <w:pPr>
        <w:ind w:left="708"/>
        <w:rPr>
          <w:rFonts w:asciiTheme="minorHAnsi" w:hAnsiTheme="minorHAnsi" w:cstheme="minorHAnsi"/>
          <w:sz w:val="22"/>
          <w:szCs w:val="22"/>
        </w:rPr>
      </w:pPr>
      <w:r w:rsidRPr="007E2A0C">
        <w:rPr>
          <w:rFonts w:asciiTheme="minorHAnsi" w:hAnsiTheme="minorHAnsi" w:cstheme="minorHAnsi"/>
          <w:sz w:val="22"/>
          <w:szCs w:val="22"/>
          <w:u w:val="single"/>
        </w:rPr>
        <w:t>Vi anbefaler</w:t>
      </w:r>
      <w:r w:rsidR="007A6ECF" w:rsidRPr="00930F41">
        <w:rPr>
          <w:rFonts w:asciiTheme="minorHAnsi" w:hAnsiTheme="minorHAnsi" w:cstheme="minorHAnsi"/>
          <w:sz w:val="22"/>
          <w:szCs w:val="22"/>
        </w:rPr>
        <w:t xml:space="preserve"> derfor at tidligere praksis med 4-årige avtaler gjeninnføres. En slik ordning kan eventuelt</w:t>
      </w:r>
      <w:r w:rsidR="00806A28">
        <w:rPr>
          <w:rFonts w:asciiTheme="minorHAnsi" w:hAnsiTheme="minorHAnsi" w:cstheme="minorHAnsi"/>
          <w:sz w:val="22"/>
          <w:szCs w:val="22"/>
        </w:rPr>
        <w:t>, som tidligere,</w:t>
      </w:r>
      <w:r w:rsidR="007A6ECF" w:rsidRPr="00930F41">
        <w:rPr>
          <w:rFonts w:asciiTheme="minorHAnsi" w:hAnsiTheme="minorHAnsi" w:cstheme="minorHAnsi"/>
          <w:sz w:val="22"/>
          <w:szCs w:val="22"/>
        </w:rPr>
        <w:t xml:space="preserve"> suppleres m</w:t>
      </w:r>
      <w:r w:rsidR="00806A28">
        <w:rPr>
          <w:rFonts w:asciiTheme="minorHAnsi" w:hAnsiTheme="minorHAnsi" w:cstheme="minorHAnsi"/>
          <w:sz w:val="22"/>
          <w:szCs w:val="22"/>
        </w:rPr>
        <w:t>ed et begrenset tilbud om årlig</w:t>
      </w:r>
      <w:r w:rsidR="007A6ECF" w:rsidRPr="00930F41">
        <w:rPr>
          <w:rFonts w:asciiTheme="minorHAnsi" w:hAnsiTheme="minorHAnsi" w:cstheme="minorHAnsi"/>
          <w:sz w:val="22"/>
          <w:szCs w:val="22"/>
        </w:rPr>
        <w:t xml:space="preserve"> støtte til organisasjoner som ikke har flerårige avtaler.</w:t>
      </w:r>
    </w:p>
    <w:p w:rsidR="001659B3" w:rsidRDefault="001659B3" w:rsidP="00251C13">
      <w:pPr>
        <w:pBdr>
          <w:bottom w:val="single" w:sz="4" w:space="1" w:color="auto"/>
        </w:pBdr>
        <w:rPr>
          <w:rFonts w:asciiTheme="minorHAnsi" w:hAnsiTheme="minorHAnsi" w:cstheme="minorHAnsi"/>
          <w:b/>
        </w:rPr>
      </w:pPr>
    </w:p>
    <w:p w:rsidR="00541A26" w:rsidRDefault="00541A26" w:rsidP="00541A26">
      <w:pPr>
        <w:pStyle w:val="ox-b1296962cf-msonormal"/>
        <w:pBdr>
          <w:bottom w:val="single" w:sz="4" w:space="1" w:color="auto"/>
        </w:pBdr>
        <w:shd w:val="clear" w:color="auto" w:fill="FFFFFF"/>
        <w:spacing w:before="0" w:beforeAutospacing="0" w:after="0" w:afterAutospacing="0"/>
        <w:rPr>
          <w:color w:val="000000"/>
        </w:rPr>
      </w:pPr>
      <w:r>
        <w:rPr>
          <w:rFonts w:ascii="Calibri" w:hAnsi="Calibri" w:cs="Calibri"/>
          <w:b/>
          <w:bCs/>
          <w:color w:val="000000"/>
        </w:rPr>
        <w:t xml:space="preserve">Tema 3: </w:t>
      </w:r>
      <w:proofErr w:type="spellStart"/>
      <w:r w:rsidRPr="00930F41">
        <w:rPr>
          <w:rFonts w:asciiTheme="minorHAnsi" w:hAnsiTheme="minorHAnsi" w:cstheme="minorHAnsi"/>
          <w:b/>
        </w:rPr>
        <w:t>Adhoc</w:t>
      </w:r>
      <w:proofErr w:type="spellEnd"/>
      <w:r w:rsidRPr="00930F41">
        <w:rPr>
          <w:rFonts w:asciiTheme="minorHAnsi" w:hAnsiTheme="minorHAnsi" w:cstheme="minorHAnsi"/>
          <w:b/>
        </w:rPr>
        <w:t xml:space="preserve">-støtte </w:t>
      </w:r>
      <w:r>
        <w:rPr>
          <w:rFonts w:asciiTheme="minorHAnsi" w:hAnsiTheme="minorHAnsi" w:cstheme="minorHAnsi"/>
          <w:b/>
        </w:rPr>
        <w:t xml:space="preserve">– </w:t>
      </w:r>
      <w:r>
        <w:rPr>
          <w:rFonts w:ascii="Calibri" w:hAnsi="Calibri" w:cs="Calibri"/>
          <w:b/>
          <w:bCs/>
          <w:color w:val="000000"/>
        </w:rPr>
        <w:t>og viktigheten av fleksibilitet i informasjonsarbeidet</w:t>
      </w:r>
    </w:p>
    <w:p w:rsidR="00541A26" w:rsidRDefault="00541A26" w:rsidP="00541A26">
      <w:pPr>
        <w:pStyle w:val="ox-b1296962cf-msonormal"/>
        <w:shd w:val="clear" w:color="auto" w:fill="FFFFFF"/>
        <w:spacing w:before="0" w:beforeAutospacing="0" w:after="0" w:afterAutospacing="0"/>
        <w:rPr>
          <w:color w:val="000000"/>
        </w:rPr>
      </w:pPr>
      <w:r>
        <w:rPr>
          <w:rFonts w:ascii="Calibri" w:hAnsi="Calibri" w:cs="Calibri"/>
          <w:color w:val="000000"/>
          <w:sz w:val="22"/>
          <w:szCs w:val="22"/>
        </w:rPr>
        <w:t> </w:t>
      </w:r>
    </w:p>
    <w:p w:rsidR="00541A26" w:rsidRDefault="00541A26" w:rsidP="00541A26">
      <w:pPr>
        <w:pStyle w:val="ox-b1296962cf-msonormal"/>
        <w:shd w:val="clear" w:color="auto" w:fill="FFFFFF"/>
        <w:spacing w:before="0" w:beforeAutospacing="0" w:after="0" w:afterAutospacing="0"/>
        <w:ind w:left="708"/>
        <w:rPr>
          <w:color w:val="000000"/>
        </w:rPr>
      </w:pPr>
      <w:r>
        <w:rPr>
          <w:rFonts w:ascii="Calibri" w:hAnsi="Calibri" w:cs="Calibri"/>
          <w:color w:val="000000"/>
          <w:sz w:val="22"/>
          <w:szCs w:val="22"/>
        </w:rPr>
        <w:t xml:space="preserve">Informasjonsarbeidet som </w:t>
      </w:r>
      <w:proofErr w:type="spellStart"/>
      <w:r>
        <w:rPr>
          <w:rFonts w:ascii="Calibri" w:hAnsi="Calibri" w:cs="Calibri"/>
          <w:color w:val="000000"/>
          <w:sz w:val="22"/>
          <w:szCs w:val="22"/>
        </w:rPr>
        <w:t>RORG</w:t>
      </w:r>
      <w:proofErr w:type="spellEnd"/>
      <w:r>
        <w:rPr>
          <w:rFonts w:ascii="Calibri" w:hAnsi="Calibri" w:cs="Calibri"/>
          <w:color w:val="000000"/>
          <w:sz w:val="22"/>
          <w:szCs w:val="22"/>
        </w:rPr>
        <w:t>-ene driver med til det daglige kan raskt bli snudd på hodet av uforutsette hendelser. Panama-</w:t>
      </w:r>
      <w:proofErr w:type="spellStart"/>
      <w:r>
        <w:rPr>
          <w:rFonts w:ascii="Calibri" w:hAnsi="Calibri" w:cs="Calibri"/>
          <w:color w:val="000000"/>
          <w:sz w:val="22"/>
          <w:szCs w:val="22"/>
        </w:rPr>
        <w:t>papers</w:t>
      </w:r>
      <w:proofErr w:type="spellEnd"/>
      <w:r>
        <w:rPr>
          <w:rFonts w:ascii="Calibri" w:hAnsi="Calibri" w:cs="Calibri"/>
          <w:color w:val="000000"/>
          <w:sz w:val="22"/>
          <w:szCs w:val="22"/>
        </w:rPr>
        <w:t>, rapporter som har linket oljefondet til lyssky virksomhet eller raske og uforutsette valg av politiske myndigheter er eksempler som gjør at man raskt må omstille planlagte aktiviteter eller informasjonsfokus for en gitt periode. </w:t>
      </w:r>
      <w:r>
        <w:rPr>
          <w:rFonts w:ascii="Calibri" w:hAnsi="Calibri" w:cs="Calibri"/>
          <w:color w:val="000000"/>
          <w:sz w:val="22"/>
          <w:szCs w:val="22"/>
        </w:rPr>
        <w:br/>
        <w:t>Det er viktig at det er åpent for å kunne ta slike drastiske endringer i fokus, uten å måtte gå gjennom en mølle av byråkrati for å få godkjent endret resultatrammeverk e.l.</w:t>
      </w:r>
    </w:p>
    <w:p w:rsidR="00541A26" w:rsidRDefault="00541A26" w:rsidP="00541A26">
      <w:pPr>
        <w:pStyle w:val="ox-b1296962cf-msonormal"/>
        <w:shd w:val="clear" w:color="auto" w:fill="FFFFFF"/>
        <w:spacing w:before="0" w:beforeAutospacing="0" w:after="0" w:afterAutospacing="0"/>
        <w:ind w:left="708"/>
        <w:rPr>
          <w:color w:val="000000"/>
        </w:rPr>
      </w:pPr>
      <w:r>
        <w:rPr>
          <w:rFonts w:ascii="Calibri" w:hAnsi="Calibri" w:cs="Calibri"/>
          <w:color w:val="000000"/>
          <w:sz w:val="22"/>
          <w:szCs w:val="22"/>
        </w:rPr>
        <w:t> </w:t>
      </w:r>
    </w:p>
    <w:p w:rsidR="00541A26" w:rsidRDefault="00541A26" w:rsidP="00541A26">
      <w:pPr>
        <w:pStyle w:val="ox-b1296962cf-msonormal"/>
        <w:shd w:val="clear" w:color="auto" w:fill="FFFFFF"/>
        <w:spacing w:before="0" w:beforeAutospacing="0" w:after="0" w:afterAutospacing="0"/>
        <w:ind w:left="708"/>
        <w:rPr>
          <w:color w:val="000000"/>
        </w:rPr>
      </w:pPr>
      <w:r>
        <w:rPr>
          <w:rFonts w:ascii="Calibri" w:hAnsi="Calibri" w:cs="Calibri"/>
          <w:color w:val="000000"/>
          <w:sz w:val="22"/>
          <w:szCs w:val="22"/>
        </w:rPr>
        <w:t>Det er også viktig å ha rom for spontanitet og kreativitet i kampanjearbeidet. Dersom man er nødt til å ha relativt konkrete planer for hva slags type kampanje man skal lansere 3-4 år i forveien er ikke dette en god form for å skape innovative kampanjer.</w:t>
      </w:r>
    </w:p>
    <w:p w:rsidR="00541A26" w:rsidRDefault="00541A26" w:rsidP="00541A26">
      <w:pPr>
        <w:pStyle w:val="ox-b1296962cf-msonormal"/>
        <w:shd w:val="clear" w:color="auto" w:fill="FFFFFF"/>
        <w:spacing w:before="0" w:beforeAutospacing="0" w:after="0" w:afterAutospacing="0"/>
        <w:ind w:left="708"/>
        <w:rPr>
          <w:color w:val="000000"/>
        </w:rPr>
      </w:pPr>
      <w:r>
        <w:rPr>
          <w:rFonts w:ascii="Calibri" w:hAnsi="Calibri" w:cs="Calibri"/>
          <w:color w:val="000000"/>
          <w:sz w:val="22"/>
          <w:szCs w:val="22"/>
        </w:rPr>
        <w:t> </w:t>
      </w:r>
    </w:p>
    <w:p w:rsidR="00541A26" w:rsidRDefault="00541A26" w:rsidP="00541A26">
      <w:pPr>
        <w:pStyle w:val="ox-b1296962cf-msonormal"/>
        <w:shd w:val="clear" w:color="auto" w:fill="FFFFFF"/>
        <w:spacing w:before="0" w:beforeAutospacing="0" w:after="0" w:afterAutospacing="0"/>
        <w:ind w:left="708"/>
        <w:rPr>
          <w:color w:val="000000"/>
        </w:rPr>
      </w:pPr>
      <w:r>
        <w:rPr>
          <w:rFonts w:ascii="Calibri" w:hAnsi="Calibri" w:cs="Calibri"/>
          <w:color w:val="000000"/>
          <w:sz w:val="22"/>
          <w:szCs w:val="22"/>
        </w:rPr>
        <w:t>Det er flere måter det kan gis mer rom for fleksibilitet og mulighet til å få gode og innovative kampanjer ut i live. Et alternativ er gjeninnføring av en ordning med årlig tilleggsstøtte (</w:t>
      </w:r>
      <w:proofErr w:type="spellStart"/>
      <w:r>
        <w:rPr>
          <w:rFonts w:ascii="Calibri" w:hAnsi="Calibri" w:cs="Calibri"/>
          <w:color w:val="000000"/>
          <w:sz w:val="22"/>
          <w:szCs w:val="22"/>
        </w:rPr>
        <w:t>adhoc</w:t>
      </w:r>
      <w:proofErr w:type="spellEnd"/>
      <w:r>
        <w:rPr>
          <w:rFonts w:ascii="Calibri" w:hAnsi="Calibri" w:cs="Calibri"/>
          <w:color w:val="000000"/>
          <w:sz w:val="22"/>
          <w:szCs w:val="22"/>
        </w:rPr>
        <w:t>-støtte) til organisasjoner med flerårige avtaler, som vi i utgangspunktet er positive til. Likevel mener vi det er viktig å vurdere dette spørsmålet i lys av:</w:t>
      </w:r>
    </w:p>
    <w:p w:rsidR="00541A26" w:rsidRDefault="00541A26" w:rsidP="00541A26">
      <w:pPr>
        <w:pStyle w:val="ox-b1296962cf-msonormal"/>
        <w:shd w:val="clear" w:color="auto" w:fill="FFFFFF"/>
        <w:spacing w:before="0" w:beforeAutospacing="0" w:after="0" w:afterAutospacing="0"/>
        <w:ind w:left="708"/>
        <w:rPr>
          <w:color w:val="000000"/>
        </w:rPr>
      </w:pPr>
      <w:r>
        <w:rPr>
          <w:rFonts w:ascii="Calibri" w:hAnsi="Calibri" w:cs="Calibri"/>
          <w:color w:val="000000"/>
          <w:sz w:val="22"/>
          <w:szCs w:val="22"/>
        </w:rPr>
        <w:t> </w:t>
      </w:r>
    </w:p>
    <w:p w:rsidR="00541A26" w:rsidRDefault="00541A26" w:rsidP="00541A26">
      <w:pPr>
        <w:pStyle w:val="ox-b1296962cf-msolistparagraph"/>
        <w:shd w:val="clear" w:color="auto" w:fill="FFFFFF"/>
        <w:spacing w:before="0" w:beforeAutospacing="0" w:after="0" w:afterAutospacing="0"/>
        <w:ind w:left="1068" w:hanging="360"/>
        <w:rPr>
          <w:color w:val="000000"/>
        </w:rPr>
      </w:pPr>
      <w:r>
        <w:rPr>
          <w:rFonts w:ascii="Calibri" w:hAnsi="Calibri" w:cs="Calibri"/>
          <w:color w:val="000000"/>
          <w:sz w:val="22"/>
          <w:szCs w:val="22"/>
        </w:rPr>
        <w:t>1)</w:t>
      </w:r>
      <w:r>
        <w:rPr>
          <w:color w:val="000000"/>
          <w:sz w:val="14"/>
          <w:szCs w:val="14"/>
        </w:rPr>
        <w:t>      </w:t>
      </w:r>
      <w:r>
        <w:rPr>
          <w:rFonts w:ascii="Calibri" w:hAnsi="Calibri" w:cs="Calibri"/>
          <w:color w:val="000000"/>
          <w:sz w:val="22"/>
          <w:szCs w:val="22"/>
        </w:rPr>
        <w:t>i hvilken grad innrettingen av de flerårige avtalene vil gi tilstrekkelig fleksibilitet til at organisasjonene kan imøtekomme de behov en slik ordning eventuelt skal møte og</w:t>
      </w:r>
    </w:p>
    <w:p w:rsidR="00541A26" w:rsidRDefault="00541A26" w:rsidP="00541A26">
      <w:pPr>
        <w:pStyle w:val="ox-b1296962cf-msolistparagraph"/>
        <w:shd w:val="clear" w:color="auto" w:fill="FFFFFF"/>
        <w:spacing w:before="0" w:beforeAutospacing="0" w:after="0" w:afterAutospacing="0"/>
        <w:ind w:left="1068" w:hanging="360"/>
        <w:rPr>
          <w:color w:val="000000"/>
        </w:rPr>
      </w:pPr>
      <w:r>
        <w:rPr>
          <w:rFonts w:ascii="Calibri" w:hAnsi="Calibri" w:cs="Calibri"/>
          <w:color w:val="000000"/>
          <w:sz w:val="22"/>
          <w:szCs w:val="22"/>
        </w:rPr>
        <w:lastRenderedPageBreak/>
        <w:t>2)</w:t>
      </w:r>
      <w:r>
        <w:rPr>
          <w:color w:val="000000"/>
          <w:sz w:val="14"/>
          <w:szCs w:val="14"/>
        </w:rPr>
        <w:t>      </w:t>
      </w:r>
      <w:r>
        <w:rPr>
          <w:rFonts w:ascii="Calibri" w:hAnsi="Calibri" w:cs="Calibri"/>
          <w:color w:val="000000"/>
          <w:sz w:val="22"/>
          <w:szCs w:val="22"/>
        </w:rPr>
        <w:t>i hvilken grad det er mulig å få til en gjeninnføring av en ordning med tilleggstilskudd uten at det innebærer uforholdsmessig stor forvaltningsmessige belastning (for søkerorganisasjonene så vel som forvaltningen).</w:t>
      </w:r>
    </w:p>
    <w:p w:rsidR="00541A26" w:rsidRDefault="00541A26" w:rsidP="00541A26">
      <w:pPr>
        <w:pStyle w:val="ox-b1296962cf-msonormal"/>
        <w:shd w:val="clear" w:color="auto" w:fill="FFFFFF"/>
        <w:spacing w:before="0" w:beforeAutospacing="0" w:after="0" w:afterAutospacing="0"/>
        <w:ind w:left="708"/>
        <w:rPr>
          <w:color w:val="000000"/>
        </w:rPr>
      </w:pPr>
      <w:r>
        <w:rPr>
          <w:rFonts w:ascii="Calibri" w:hAnsi="Calibri" w:cs="Calibri"/>
          <w:color w:val="000000"/>
          <w:sz w:val="22"/>
          <w:szCs w:val="22"/>
        </w:rPr>
        <w:t> </w:t>
      </w:r>
    </w:p>
    <w:p w:rsidR="00541A26" w:rsidRDefault="00541A26" w:rsidP="00541A26">
      <w:pPr>
        <w:pStyle w:val="ox-b1296962cf-msonormal"/>
        <w:shd w:val="clear" w:color="auto" w:fill="FFFFFF"/>
        <w:spacing w:before="0" w:beforeAutospacing="0" w:after="240" w:afterAutospacing="0"/>
        <w:ind w:left="708"/>
        <w:rPr>
          <w:color w:val="000000"/>
        </w:rPr>
      </w:pPr>
      <w:r>
        <w:rPr>
          <w:rFonts w:ascii="Calibri" w:hAnsi="Calibri" w:cs="Calibri"/>
          <w:color w:val="000000"/>
          <w:sz w:val="22"/>
          <w:szCs w:val="22"/>
        </w:rPr>
        <w:t>Etter vårt syn vil en slik ordning eksempelvis kunne være hensiktsmessig for: </w:t>
      </w:r>
    </w:p>
    <w:p w:rsidR="00541A26" w:rsidRDefault="00541A26" w:rsidP="00541A26">
      <w:pPr>
        <w:pStyle w:val="ox-b1296962cf-msolistparagraph"/>
        <w:shd w:val="clear" w:color="auto" w:fill="FFFFFF"/>
        <w:spacing w:before="0" w:beforeAutospacing="0" w:after="0" w:afterAutospacing="0"/>
        <w:ind w:left="1068" w:hanging="360"/>
        <w:rPr>
          <w:color w:val="000000"/>
        </w:rPr>
      </w:pPr>
      <w:r>
        <w:rPr>
          <w:rFonts w:ascii="Calibri" w:hAnsi="Calibri" w:cs="Calibri"/>
          <w:color w:val="000000"/>
          <w:sz w:val="22"/>
          <w:szCs w:val="22"/>
        </w:rPr>
        <w:t>1)</w:t>
      </w:r>
      <w:r>
        <w:rPr>
          <w:color w:val="000000"/>
          <w:sz w:val="14"/>
          <w:szCs w:val="14"/>
        </w:rPr>
        <w:t>      </w:t>
      </w:r>
      <w:r>
        <w:rPr>
          <w:rFonts w:ascii="Calibri" w:hAnsi="Calibri" w:cs="Calibri"/>
          <w:color w:val="000000"/>
          <w:sz w:val="22"/>
          <w:szCs w:val="22"/>
        </w:rPr>
        <w:t>å stimulere til samarbeid og innovasjon/nyskaping i opplysningsarbeidet (som organisasjonene ellers ikke ville kunne prioritert/risikert) og/eller</w:t>
      </w:r>
    </w:p>
    <w:p w:rsidR="00541A26" w:rsidRDefault="00541A26" w:rsidP="00541A26">
      <w:pPr>
        <w:pStyle w:val="ox-b1296962cf-msolistparagraph"/>
        <w:shd w:val="clear" w:color="auto" w:fill="FFFFFF"/>
        <w:spacing w:before="0" w:beforeAutospacing="0" w:after="0" w:afterAutospacing="0"/>
        <w:ind w:left="1068" w:hanging="360"/>
        <w:rPr>
          <w:color w:val="000000"/>
        </w:rPr>
      </w:pPr>
      <w:r>
        <w:rPr>
          <w:rFonts w:ascii="Calibri" w:hAnsi="Calibri" w:cs="Calibri"/>
          <w:color w:val="000000"/>
          <w:sz w:val="22"/>
          <w:szCs w:val="22"/>
        </w:rPr>
        <w:t>2)</w:t>
      </w:r>
      <w:r>
        <w:rPr>
          <w:color w:val="000000"/>
          <w:sz w:val="14"/>
          <w:szCs w:val="14"/>
        </w:rPr>
        <w:t>      </w:t>
      </w:r>
      <w:r>
        <w:rPr>
          <w:rFonts w:ascii="Calibri" w:hAnsi="Calibri" w:cs="Calibri"/>
          <w:color w:val="000000"/>
          <w:sz w:val="22"/>
          <w:szCs w:val="22"/>
        </w:rPr>
        <w:t>gi finansielt rom for organisasjonene til å ta tak i viktige dagsaktuelle saker knyttet arbeidet med FNs bærekraftsmål og samstemt politikk for utvikling som måtte dukke opp i løpet av året (og som de ellers ikke ville hatt rom for innenfor godkjent budsjetter).</w:t>
      </w:r>
    </w:p>
    <w:p w:rsidR="00541A26" w:rsidRDefault="00541A26" w:rsidP="00541A26">
      <w:pPr>
        <w:pStyle w:val="ox-b1296962cf-msolistparagraph"/>
        <w:shd w:val="clear" w:color="auto" w:fill="FFFFFF"/>
        <w:spacing w:before="0" w:beforeAutospacing="0" w:after="0" w:afterAutospacing="0"/>
        <w:ind w:left="708"/>
        <w:rPr>
          <w:color w:val="000000"/>
        </w:rPr>
      </w:pPr>
      <w:r>
        <w:rPr>
          <w:rFonts w:ascii="Calibri" w:hAnsi="Calibri" w:cs="Calibri"/>
          <w:color w:val="000000"/>
          <w:sz w:val="22"/>
          <w:szCs w:val="22"/>
        </w:rPr>
        <w:br/>
        <w:t xml:space="preserve">Når det gjelder forvaltningen av en eventuell tilleggstilskuddsordning bidro </w:t>
      </w:r>
      <w:proofErr w:type="spellStart"/>
      <w:r>
        <w:rPr>
          <w:rFonts w:ascii="Calibri" w:hAnsi="Calibri" w:cs="Calibri"/>
          <w:color w:val="000000"/>
          <w:sz w:val="22"/>
          <w:szCs w:val="22"/>
        </w:rPr>
        <w:t>RORG</w:t>
      </w:r>
      <w:proofErr w:type="spellEnd"/>
      <w:r>
        <w:rPr>
          <w:rFonts w:ascii="Calibri" w:hAnsi="Calibri" w:cs="Calibri"/>
          <w:color w:val="000000"/>
          <w:sz w:val="22"/>
          <w:szCs w:val="22"/>
        </w:rPr>
        <w:t xml:space="preserve">-samarbeidet tidligere, gjennom avtale med Norad, ved å gjennomgå og vurdere innkomne søknader og avgi en begrunnet innstilling til Norad. Dette fungerte etter vårt syn effektivt så lenge det var basert på tillit til de vurderinger som ble gjort av </w:t>
      </w:r>
      <w:proofErr w:type="spellStart"/>
      <w:r>
        <w:rPr>
          <w:rFonts w:ascii="Calibri" w:hAnsi="Calibri" w:cs="Calibri"/>
          <w:color w:val="000000"/>
          <w:sz w:val="22"/>
          <w:szCs w:val="22"/>
        </w:rPr>
        <w:t>RORG</w:t>
      </w:r>
      <w:proofErr w:type="spellEnd"/>
      <w:r>
        <w:rPr>
          <w:rFonts w:ascii="Calibri" w:hAnsi="Calibri" w:cs="Calibri"/>
          <w:color w:val="000000"/>
          <w:sz w:val="22"/>
          <w:szCs w:val="22"/>
        </w:rPr>
        <w:t xml:space="preserve">-samarbeidets sekretariat og styre og det i praksis ikke ble åpnet for å påklage Norads endelige beslutninger. En mulig løsning vil eventuelt kunne være at en slik ordning i sin helhet legges til </w:t>
      </w:r>
      <w:proofErr w:type="spellStart"/>
      <w:r>
        <w:rPr>
          <w:rFonts w:ascii="Calibri" w:hAnsi="Calibri" w:cs="Calibri"/>
          <w:color w:val="000000"/>
          <w:sz w:val="22"/>
          <w:szCs w:val="22"/>
        </w:rPr>
        <w:t>RORG</w:t>
      </w:r>
      <w:proofErr w:type="spellEnd"/>
      <w:r>
        <w:rPr>
          <w:rFonts w:ascii="Calibri" w:hAnsi="Calibri" w:cs="Calibri"/>
          <w:color w:val="000000"/>
          <w:sz w:val="22"/>
          <w:szCs w:val="22"/>
        </w:rPr>
        <w:t>-samarbeidet, med mulighet til å innhente tilleggsinformasjon fra Norad, som vil ha bedre innsikt og oversikt over hva som dekkes gjennom organisasjonenes flerårige avtaler.</w:t>
      </w:r>
    </w:p>
    <w:p w:rsidR="00541A26" w:rsidRDefault="00541A26" w:rsidP="00325AA2">
      <w:pPr>
        <w:ind w:left="708"/>
        <w:rPr>
          <w:rFonts w:asciiTheme="minorHAnsi" w:hAnsiTheme="minorHAnsi" w:cstheme="minorHAnsi"/>
          <w:sz w:val="22"/>
          <w:szCs w:val="22"/>
        </w:rPr>
      </w:pPr>
    </w:p>
    <w:p w:rsidR="004A61AF" w:rsidRPr="00930F41" w:rsidRDefault="004A61AF">
      <w:pPr>
        <w:rPr>
          <w:rFonts w:asciiTheme="minorHAnsi" w:hAnsiTheme="minorHAnsi" w:cstheme="minorHAnsi"/>
          <w:sz w:val="22"/>
          <w:szCs w:val="22"/>
        </w:rPr>
      </w:pPr>
    </w:p>
    <w:p w:rsidR="00251C13" w:rsidRPr="00930F41" w:rsidRDefault="00251C13" w:rsidP="00251C13">
      <w:pPr>
        <w:pBdr>
          <w:bottom w:val="single" w:sz="4" w:space="1" w:color="auto"/>
        </w:pBdr>
        <w:rPr>
          <w:rFonts w:asciiTheme="minorHAnsi" w:hAnsiTheme="minorHAnsi" w:cstheme="minorHAnsi"/>
          <w:b/>
        </w:rPr>
      </w:pPr>
      <w:r w:rsidRPr="00930F41">
        <w:rPr>
          <w:rFonts w:asciiTheme="minorHAnsi" w:hAnsiTheme="minorHAnsi" w:cstheme="minorHAnsi"/>
          <w:b/>
        </w:rPr>
        <w:t>Tema 4: Egenandel</w:t>
      </w:r>
      <w:r w:rsidR="00816623">
        <w:rPr>
          <w:rFonts w:asciiTheme="minorHAnsi" w:hAnsiTheme="minorHAnsi" w:cstheme="minorHAnsi"/>
          <w:b/>
        </w:rPr>
        <w:t xml:space="preserve"> </w:t>
      </w:r>
    </w:p>
    <w:p w:rsidR="00133470" w:rsidRDefault="00133470" w:rsidP="00816623">
      <w:pPr>
        <w:rPr>
          <w:rFonts w:asciiTheme="minorHAnsi" w:hAnsiTheme="minorHAnsi" w:cstheme="minorHAnsi"/>
          <w:sz w:val="22"/>
          <w:szCs w:val="22"/>
          <w:shd w:val="clear" w:color="auto" w:fill="FFFFFF"/>
        </w:rPr>
      </w:pPr>
    </w:p>
    <w:p w:rsidR="002621CA" w:rsidRDefault="00133470" w:rsidP="008C3D42">
      <w:pPr>
        <w:ind w:left="72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Vi tror ikke at innføring</w:t>
      </w:r>
      <w:r w:rsidRPr="00133470">
        <w:rPr>
          <w:rFonts w:asciiTheme="minorHAnsi" w:hAnsiTheme="minorHAnsi" w:cstheme="minorHAnsi"/>
          <w:sz w:val="22"/>
          <w:szCs w:val="22"/>
          <w:shd w:val="clear" w:color="auto" w:fill="FFFFFF"/>
        </w:rPr>
        <w:t xml:space="preserve"> en egenandel </w:t>
      </w:r>
      <w:r>
        <w:rPr>
          <w:rFonts w:asciiTheme="minorHAnsi" w:hAnsiTheme="minorHAnsi" w:cstheme="minorHAnsi"/>
          <w:sz w:val="22"/>
          <w:szCs w:val="22"/>
          <w:shd w:val="clear" w:color="auto" w:fill="FFFFFF"/>
        </w:rPr>
        <w:t>for organisasjoner som mottar informasjonsstøtte vil bidra positivt til det som er den uttalte hensikten</w:t>
      </w:r>
      <w:r w:rsidR="00816623">
        <w:rPr>
          <w:rFonts w:asciiTheme="minorHAnsi" w:hAnsiTheme="minorHAnsi" w:cstheme="minorHAnsi"/>
          <w:sz w:val="22"/>
          <w:szCs w:val="22"/>
          <w:shd w:val="clear" w:color="auto" w:fill="FFFFFF"/>
        </w:rPr>
        <w:t xml:space="preserve">, </w:t>
      </w:r>
      <w:r w:rsidRPr="00133470">
        <w:rPr>
          <w:rFonts w:asciiTheme="minorHAnsi" w:hAnsiTheme="minorHAnsi" w:cstheme="minorHAnsi"/>
          <w:sz w:val="22"/>
          <w:szCs w:val="22"/>
          <w:shd w:val="clear" w:color="auto" w:fill="FFFFFF"/>
        </w:rPr>
        <w:t xml:space="preserve">et ønske om </w:t>
      </w:r>
      <w:r w:rsidRPr="00133470">
        <w:rPr>
          <w:rFonts w:asciiTheme="minorHAnsi" w:hAnsiTheme="minorHAnsi" w:cstheme="minorHAnsi"/>
          <w:sz w:val="22"/>
          <w:szCs w:val="22"/>
        </w:rPr>
        <w:t xml:space="preserve">folkelig forankring og organisasjonsmessig autonomi. </w:t>
      </w:r>
      <w:r>
        <w:rPr>
          <w:rFonts w:asciiTheme="minorHAnsi" w:hAnsiTheme="minorHAnsi" w:cstheme="minorHAnsi"/>
          <w:sz w:val="22"/>
          <w:szCs w:val="22"/>
          <w:shd w:val="clear" w:color="auto" w:fill="FFFFFF"/>
        </w:rPr>
        <w:t>U</w:t>
      </w:r>
      <w:r w:rsidR="0021644E" w:rsidRPr="00930F41">
        <w:rPr>
          <w:rFonts w:asciiTheme="minorHAnsi" w:hAnsiTheme="minorHAnsi" w:cstheme="minorHAnsi"/>
          <w:sz w:val="22"/>
          <w:szCs w:val="22"/>
          <w:shd w:val="clear" w:color="auto" w:fill="FFFFFF"/>
        </w:rPr>
        <w:t xml:space="preserve">avhengig av </w:t>
      </w:r>
      <w:r>
        <w:rPr>
          <w:rFonts w:asciiTheme="minorHAnsi" w:hAnsiTheme="minorHAnsi" w:cstheme="minorHAnsi"/>
          <w:sz w:val="22"/>
          <w:szCs w:val="22"/>
          <w:shd w:val="clear" w:color="auto" w:fill="FFFFFF"/>
        </w:rPr>
        <w:t xml:space="preserve">de ulike organisasjonenes </w:t>
      </w:r>
      <w:r w:rsidR="0021644E" w:rsidRPr="00930F41">
        <w:rPr>
          <w:rFonts w:asciiTheme="minorHAnsi" w:hAnsiTheme="minorHAnsi" w:cstheme="minorHAnsi"/>
          <w:sz w:val="22"/>
          <w:szCs w:val="22"/>
          <w:shd w:val="clear" w:color="auto" w:fill="FFFFFF"/>
        </w:rPr>
        <w:t>evne til å innfri</w:t>
      </w:r>
      <w:r>
        <w:rPr>
          <w:rFonts w:asciiTheme="minorHAnsi" w:hAnsiTheme="minorHAnsi" w:cstheme="minorHAnsi"/>
          <w:sz w:val="22"/>
          <w:szCs w:val="22"/>
          <w:shd w:val="clear" w:color="auto" w:fill="FFFFFF"/>
        </w:rPr>
        <w:t xml:space="preserve"> et eventuelt krav om egenandel mener vi</w:t>
      </w:r>
      <w:r w:rsidR="0021644E" w:rsidRPr="00930F41">
        <w:rPr>
          <w:rFonts w:asciiTheme="minorHAnsi" w:hAnsiTheme="minorHAnsi" w:cstheme="minorHAnsi"/>
          <w:sz w:val="22"/>
          <w:szCs w:val="22"/>
          <w:shd w:val="clear" w:color="auto" w:fill="FFFFFF"/>
        </w:rPr>
        <w:t xml:space="preserve"> </w:t>
      </w:r>
      <w:r w:rsidR="00816623">
        <w:rPr>
          <w:rFonts w:asciiTheme="minorHAnsi" w:hAnsiTheme="minorHAnsi" w:cstheme="minorHAnsi"/>
          <w:sz w:val="22"/>
          <w:szCs w:val="22"/>
          <w:shd w:val="clear" w:color="auto" w:fill="FFFFFF"/>
        </w:rPr>
        <w:t xml:space="preserve">dessuten </w:t>
      </w:r>
      <w:r w:rsidR="0021644E" w:rsidRPr="00930F41">
        <w:rPr>
          <w:rFonts w:asciiTheme="minorHAnsi" w:hAnsiTheme="minorHAnsi" w:cstheme="minorHAnsi"/>
          <w:sz w:val="22"/>
          <w:szCs w:val="22"/>
          <w:shd w:val="clear" w:color="auto" w:fill="FFFFFF"/>
        </w:rPr>
        <w:t xml:space="preserve">at innføring av egenandel vil påvirke organisasjonenes opplysningsarbeid negativt på en måte som </w:t>
      </w:r>
      <w:r>
        <w:rPr>
          <w:rFonts w:asciiTheme="minorHAnsi" w:hAnsiTheme="minorHAnsi" w:cstheme="minorHAnsi"/>
          <w:sz w:val="22"/>
          <w:szCs w:val="22"/>
          <w:shd w:val="clear" w:color="auto" w:fill="FFFFFF"/>
        </w:rPr>
        <w:t>vil kunne undergrave</w:t>
      </w:r>
      <w:r w:rsidR="0021644E" w:rsidRPr="00930F41">
        <w:rPr>
          <w:rFonts w:asciiTheme="minorHAnsi" w:hAnsiTheme="minorHAnsi" w:cstheme="minorHAnsi"/>
          <w:sz w:val="22"/>
          <w:szCs w:val="22"/>
          <w:shd w:val="clear" w:color="auto" w:fill="FFFFFF"/>
        </w:rPr>
        <w:t xml:space="preserve"> inf</w:t>
      </w:r>
      <w:r>
        <w:rPr>
          <w:rFonts w:asciiTheme="minorHAnsi" w:hAnsiTheme="minorHAnsi" w:cstheme="minorHAnsi"/>
          <w:sz w:val="22"/>
          <w:szCs w:val="22"/>
          <w:shd w:val="clear" w:color="auto" w:fill="FFFFFF"/>
        </w:rPr>
        <w:t xml:space="preserve">ormasjonsstøttens formål og </w:t>
      </w:r>
      <w:r w:rsidR="0021644E" w:rsidRPr="00930F41">
        <w:rPr>
          <w:rFonts w:asciiTheme="minorHAnsi" w:hAnsiTheme="minorHAnsi" w:cstheme="minorHAnsi"/>
          <w:sz w:val="22"/>
          <w:szCs w:val="22"/>
          <w:shd w:val="clear" w:color="auto" w:fill="FFFFFF"/>
        </w:rPr>
        <w:t>svekke de fremtidige resultatene av støtteordningen.</w:t>
      </w:r>
      <w:r w:rsidR="00816623">
        <w:rPr>
          <w:rFonts w:asciiTheme="minorHAnsi" w:hAnsiTheme="minorHAnsi" w:cstheme="minorHAnsi"/>
          <w:sz w:val="22"/>
          <w:szCs w:val="22"/>
          <w:shd w:val="clear" w:color="auto" w:fill="FFFFFF"/>
        </w:rPr>
        <w:t xml:space="preserve"> </w:t>
      </w:r>
      <w:r w:rsidR="002621CA">
        <w:rPr>
          <w:rFonts w:asciiTheme="minorHAnsi" w:hAnsiTheme="minorHAnsi" w:cstheme="minorHAnsi"/>
          <w:sz w:val="22"/>
          <w:szCs w:val="22"/>
          <w:shd w:val="clear" w:color="auto" w:fill="FFFFFF"/>
        </w:rPr>
        <w:t xml:space="preserve">Vi frykter at et slikt krav bl.a. vil kunne føre til: </w:t>
      </w:r>
    </w:p>
    <w:p w:rsidR="002621CA" w:rsidRDefault="002621CA" w:rsidP="008C3D42">
      <w:pPr>
        <w:ind w:left="720"/>
        <w:rPr>
          <w:rFonts w:asciiTheme="minorHAnsi" w:hAnsiTheme="minorHAnsi" w:cstheme="minorHAnsi"/>
          <w:sz w:val="22"/>
          <w:szCs w:val="22"/>
          <w:shd w:val="clear" w:color="auto" w:fill="FFFFFF"/>
        </w:rPr>
      </w:pPr>
    </w:p>
    <w:p w:rsidR="002621CA" w:rsidRPr="002621CA" w:rsidRDefault="002621CA" w:rsidP="002621CA">
      <w:pPr>
        <w:pStyle w:val="Listeavsnitt"/>
        <w:numPr>
          <w:ilvl w:val="0"/>
          <w:numId w:val="7"/>
        </w:numPr>
        <w:rPr>
          <w:rFonts w:asciiTheme="minorHAnsi" w:hAnsiTheme="minorHAnsi" w:cstheme="minorHAnsi"/>
          <w:sz w:val="22"/>
          <w:szCs w:val="22"/>
          <w:shd w:val="clear" w:color="auto" w:fill="FFFFFF"/>
        </w:rPr>
      </w:pPr>
      <w:r w:rsidRPr="002621CA">
        <w:rPr>
          <w:rFonts w:asciiTheme="minorHAnsi" w:hAnsiTheme="minorHAnsi" w:cstheme="minorHAnsi"/>
          <w:sz w:val="22"/>
          <w:szCs w:val="22"/>
          <w:shd w:val="clear" w:color="auto" w:fill="FFFFFF"/>
        </w:rPr>
        <w:t xml:space="preserve">svekket kapasitet i organisasjonene til å drive relevant opplysningsarbeid, </w:t>
      </w:r>
    </w:p>
    <w:p w:rsidR="002621CA" w:rsidRPr="002621CA" w:rsidRDefault="002621CA" w:rsidP="002621CA">
      <w:pPr>
        <w:pStyle w:val="Listeavsnitt"/>
        <w:numPr>
          <w:ilvl w:val="0"/>
          <w:numId w:val="7"/>
        </w:numPr>
        <w:rPr>
          <w:rFonts w:asciiTheme="minorHAnsi" w:hAnsiTheme="minorHAnsi" w:cstheme="minorHAnsi"/>
          <w:sz w:val="22"/>
          <w:szCs w:val="22"/>
          <w:shd w:val="clear" w:color="auto" w:fill="FFFFFF"/>
        </w:rPr>
      </w:pPr>
      <w:r w:rsidRPr="002621CA">
        <w:rPr>
          <w:rFonts w:asciiTheme="minorHAnsi" w:hAnsiTheme="minorHAnsi" w:cstheme="minorHAnsi"/>
          <w:sz w:val="22"/>
          <w:szCs w:val="22"/>
          <w:shd w:val="clear" w:color="auto" w:fill="FFFFFF"/>
        </w:rPr>
        <w:t xml:space="preserve">styrket markedsorientering i strid med ordningens formål og </w:t>
      </w:r>
    </w:p>
    <w:p w:rsidR="002621CA" w:rsidRPr="002621CA" w:rsidRDefault="002621CA" w:rsidP="002621CA">
      <w:pPr>
        <w:pStyle w:val="Listeavsnitt"/>
        <w:numPr>
          <w:ilvl w:val="0"/>
          <w:numId w:val="7"/>
        </w:numPr>
        <w:rPr>
          <w:rFonts w:asciiTheme="minorHAnsi" w:hAnsiTheme="minorHAnsi" w:cstheme="minorHAnsi"/>
          <w:sz w:val="22"/>
          <w:szCs w:val="22"/>
          <w:shd w:val="clear" w:color="auto" w:fill="FFFFFF"/>
        </w:rPr>
      </w:pPr>
      <w:r w:rsidRPr="002621CA">
        <w:rPr>
          <w:rFonts w:asciiTheme="minorHAnsi" w:hAnsiTheme="minorHAnsi" w:cstheme="minorHAnsi"/>
          <w:sz w:val="22"/>
          <w:szCs w:val="22"/>
          <w:shd w:val="clear" w:color="auto" w:fill="FFFFFF"/>
        </w:rPr>
        <w:t xml:space="preserve">at </w:t>
      </w:r>
      <w:r w:rsidR="00816623" w:rsidRPr="002621CA">
        <w:rPr>
          <w:rFonts w:asciiTheme="minorHAnsi" w:hAnsiTheme="minorHAnsi" w:cstheme="minorHAnsi"/>
          <w:sz w:val="22"/>
          <w:szCs w:val="22"/>
          <w:shd w:val="clear" w:color="auto" w:fill="FFFFFF"/>
        </w:rPr>
        <w:t>mindre nisje-organisasjoner</w:t>
      </w:r>
      <w:r>
        <w:rPr>
          <w:rFonts w:asciiTheme="minorHAnsi" w:hAnsiTheme="minorHAnsi" w:cstheme="minorHAnsi"/>
          <w:sz w:val="22"/>
          <w:szCs w:val="22"/>
          <w:shd w:val="clear" w:color="auto" w:fill="FFFFFF"/>
        </w:rPr>
        <w:t>,</w:t>
      </w:r>
      <w:r w:rsidR="00816623" w:rsidRPr="002621CA">
        <w:rPr>
          <w:rFonts w:asciiTheme="minorHAnsi" w:hAnsiTheme="minorHAnsi" w:cstheme="minorHAnsi"/>
          <w:sz w:val="22"/>
          <w:szCs w:val="22"/>
          <w:shd w:val="clear" w:color="auto" w:fill="FFFFFF"/>
        </w:rPr>
        <w:t xml:space="preserve"> med særlig kompetanse på sentrale utviklingspolitiske temaer som er viktige for sivilsamfunnet og opplysningsarbeidet generelt</w:t>
      </w:r>
      <w:r>
        <w:rPr>
          <w:rFonts w:asciiTheme="minorHAnsi" w:hAnsiTheme="minorHAnsi" w:cstheme="minorHAnsi"/>
          <w:sz w:val="22"/>
          <w:szCs w:val="22"/>
          <w:shd w:val="clear" w:color="auto" w:fill="FFFFFF"/>
        </w:rPr>
        <w:t>,</w:t>
      </w:r>
      <w:r w:rsidRPr="002621CA">
        <w:rPr>
          <w:rFonts w:asciiTheme="minorHAnsi" w:hAnsiTheme="minorHAnsi" w:cstheme="minorHAnsi"/>
          <w:sz w:val="22"/>
          <w:szCs w:val="22"/>
          <w:shd w:val="clear" w:color="auto" w:fill="FFFFFF"/>
        </w:rPr>
        <w:t xml:space="preserve"> rammes spesielt</w:t>
      </w:r>
      <w:r w:rsidR="00816623" w:rsidRPr="002621CA">
        <w:rPr>
          <w:rFonts w:asciiTheme="minorHAnsi" w:hAnsiTheme="minorHAnsi" w:cstheme="minorHAnsi"/>
          <w:sz w:val="22"/>
          <w:szCs w:val="22"/>
          <w:shd w:val="clear" w:color="auto" w:fill="FFFFFF"/>
        </w:rPr>
        <w:t xml:space="preserve">. </w:t>
      </w:r>
    </w:p>
    <w:p w:rsidR="002621CA" w:rsidRPr="007E2A0C" w:rsidRDefault="002621CA" w:rsidP="007E2A0C">
      <w:pPr>
        <w:ind w:left="720"/>
        <w:rPr>
          <w:rFonts w:asciiTheme="minorHAnsi" w:hAnsiTheme="minorHAnsi" w:cstheme="minorHAnsi"/>
          <w:sz w:val="22"/>
          <w:szCs w:val="22"/>
          <w:u w:val="single"/>
          <w:shd w:val="clear" w:color="auto" w:fill="FFFFFF"/>
        </w:rPr>
      </w:pPr>
    </w:p>
    <w:p w:rsidR="00E05208" w:rsidRPr="00F9136A" w:rsidRDefault="00816623" w:rsidP="00E05208">
      <w:pPr>
        <w:ind w:left="720"/>
        <w:rPr>
          <w:rFonts w:asciiTheme="minorHAnsi" w:hAnsiTheme="minorHAnsi" w:cstheme="minorHAnsi"/>
          <w:sz w:val="22"/>
          <w:szCs w:val="22"/>
          <w:shd w:val="clear" w:color="auto" w:fill="FFFFFF"/>
        </w:rPr>
      </w:pPr>
      <w:r w:rsidRPr="007E2A0C">
        <w:rPr>
          <w:rFonts w:asciiTheme="minorHAnsi" w:hAnsiTheme="minorHAnsi" w:cstheme="minorHAnsi"/>
          <w:sz w:val="22"/>
          <w:szCs w:val="22"/>
          <w:u w:val="single"/>
          <w:shd w:val="clear" w:color="auto" w:fill="FFFFFF"/>
        </w:rPr>
        <w:t>Vi anbefaler</w:t>
      </w:r>
      <w:r>
        <w:rPr>
          <w:rFonts w:asciiTheme="minorHAnsi" w:hAnsiTheme="minorHAnsi" w:cstheme="minorHAnsi"/>
          <w:sz w:val="22"/>
          <w:szCs w:val="22"/>
          <w:shd w:val="clear" w:color="auto" w:fill="FFFFFF"/>
        </w:rPr>
        <w:t xml:space="preserve"> derfor at det ikke innføres krav om egenandel knyttet til informasjonsstøtten.</w:t>
      </w:r>
    </w:p>
    <w:p w:rsidR="003511EB" w:rsidRDefault="003511EB" w:rsidP="003511EB">
      <w:pPr>
        <w:rPr>
          <w:rFonts w:asciiTheme="minorHAnsi" w:hAnsiTheme="minorHAnsi" w:cstheme="minorHAnsi"/>
          <w:sz w:val="22"/>
          <w:szCs w:val="22"/>
        </w:rPr>
      </w:pPr>
    </w:p>
    <w:p w:rsidR="004A61AF" w:rsidRDefault="004A61AF" w:rsidP="003511EB">
      <w:pPr>
        <w:rPr>
          <w:rFonts w:asciiTheme="minorHAnsi" w:hAnsiTheme="minorHAnsi" w:cstheme="minorHAnsi"/>
          <w:sz w:val="22"/>
          <w:szCs w:val="22"/>
        </w:rPr>
      </w:pPr>
    </w:p>
    <w:p w:rsidR="003511EB" w:rsidRPr="00930F41" w:rsidRDefault="003511EB" w:rsidP="003511EB">
      <w:pPr>
        <w:pBdr>
          <w:bottom w:val="single" w:sz="4" w:space="1" w:color="auto"/>
        </w:pBdr>
        <w:rPr>
          <w:rFonts w:asciiTheme="minorHAnsi" w:hAnsiTheme="minorHAnsi" w:cstheme="minorHAnsi"/>
          <w:b/>
        </w:rPr>
      </w:pPr>
      <w:r w:rsidRPr="00930F41">
        <w:rPr>
          <w:rFonts w:asciiTheme="minorHAnsi" w:hAnsiTheme="minorHAnsi" w:cstheme="minorHAnsi"/>
          <w:b/>
        </w:rPr>
        <w:t>Tema 5: Forenkling</w:t>
      </w:r>
      <w:r>
        <w:rPr>
          <w:rFonts w:asciiTheme="minorHAnsi" w:hAnsiTheme="minorHAnsi" w:cstheme="minorHAnsi"/>
          <w:b/>
        </w:rPr>
        <w:t xml:space="preserve"> av forvaltningen </w:t>
      </w:r>
    </w:p>
    <w:p w:rsidR="00AB2AE3" w:rsidRDefault="00AB2AE3" w:rsidP="00E05208">
      <w:pPr>
        <w:rPr>
          <w:rFonts w:asciiTheme="minorHAnsi" w:hAnsiTheme="minorHAnsi" w:cstheme="minorHAnsi"/>
          <w:sz w:val="22"/>
          <w:szCs w:val="22"/>
        </w:rPr>
      </w:pPr>
    </w:p>
    <w:p w:rsidR="00AB2AE3" w:rsidRDefault="00AB2AE3" w:rsidP="00AB2AE3">
      <w:pPr>
        <w:ind w:left="708"/>
        <w:rPr>
          <w:rFonts w:asciiTheme="minorHAnsi" w:hAnsiTheme="minorHAnsi" w:cstheme="minorHAnsi"/>
          <w:sz w:val="22"/>
          <w:szCs w:val="22"/>
        </w:rPr>
      </w:pPr>
      <w:r w:rsidRPr="00552E01">
        <w:rPr>
          <w:rFonts w:asciiTheme="minorHAnsi" w:hAnsiTheme="minorHAnsi" w:cstheme="minorHAnsi"/>
          <w:sz w:val="22"/>
          <w:szCs w:val="22"/>
          <w:u w:val="single"/>
        </w:rPr>
        <w:t>Vi støtter</w:t>
      </w:r>
      <w:r>
        <w:rPr>
          <w:rFonts w:asciiTheme="minorHAnsi" w:hAnsiTheme="minorHAnsi" w:cstheme="minorHAnsi"/>
          <w:sz w:val="22"/>
          <w:szCs w:val="22"/>
        </w:rPr>
        <w:t xml:space="preserve"> evalueringens anbefaling om</w:t>
      </w:r>
      <w:r w:rsidRPr="00C003FC">
        <w:rPr>
          <w:rFonts w:asciiTheme="minorHAnsi" w:hAnsiTheme="minorHAnsi" w:cstheme="minorHAnsi"/>
          <w:sz w:val="22"/>
          <w:szCs w:val="22"/>
        </w:rPr>
        <w:t xml:space="preserve"> at </w:t>
      </w:r>
      <w:r w:rsidR="00C003FC">
        <w:rPr>
          <w:rFonts w:asciiTheme="minorHAnsi" w:hAnsiTheme="minorHAnsi" w:cstheme="minorHAnsi"/>
          <w:i/>
          <w:sz w:val="22"/>
          <w:szCs w:val="22"/>
        </w:rPr>
        <w:t>«</w:t>
      </w:r>
      <w:r w:rsidRPr="00AB2AE3">
        <w:rPr>
          <w:rFonts w:asciiTheme="minorHAnsi" w:hAnsiTheme="minorHAnsi" w:cstheme="minorHAnsi"/>
          <w:i/>
          <w:sz w:val="22"/>
          <w:szCs w:val="22"/>
        </w:rPr>
        <w:t>informasjonsstøtten forvaltes på en annen måte enn de allmenne støtteordningene for sivilsamfunnsorganisasjoner</w:t>
      </w:r>
      <w:r w:rsidR="00C003FC">
        <w:rPr>
          <w:rFonts w:asciiTheme="minorHAnsi" w:hAnsiTheme="minorHAnsi" w:cstheme="minorHAnsi"/>
          <w:i/>
          <w:sz w:val="22"/>
          <w:szCs w:val="22"/>
        </w:rPr>
        <w:t>»</w:t>
      </w:r>
      <w:r>
        <w:rPr>
          <w:rFonts w:asciiTheme="minorHAnsi" w:hAnsiTheme="minorHAnsi" w:cstheme="minorHAnsi"/>
          <w:sz w:val="22"/>
          <w:szCs w:val="22"/>
        </w:rPr>
        <w:t xml:space="preserve"> </w:t>
      </w:r>
      <w:r w:rsidRPr="00552E01">
        <w:rPr>
          <w:rFonts w:asciiTheme="minorHAnsi" w:hAnsiTheme="minorHAnsi" w:cstheme="minorHAnsi"/>
          <w:sz w:val="22"/>
          <w:szCs w:val="22"/>
          <w:u w:val="single"/>
        </w:rPr>
        <w:t>og anbefaler</w:t>
      </w:r>
      <w:r>
        <w:rPr>
          <w:rFonts w:asciiTheme="minorHAnsi" w:hAnsiTheme="minorHAnsi" w:cstheme="minorHAnsi"/>
          <w:sz w:val="22"/>
          <w:szCs w:val="22"/>
        </w:rPr>
        <w:t xml:space="preserve"> Norad å legge dette til grunn i arbeidet med endringene av ramme for forvaltningen.</w:t>
      </w:r>
    </w:p>
    <w:p w:rsidR="003511EB" w:rsidRDefault="003511EB" w:rsidP="003511EB">
      <w:pPr>
        <w:rPr>
          <w:rFonts w:asciiTheme="minorHAnsi" w:hAnsiTheme="minorHAnsi" w:cstheme="minorHAnsi"/>
          <w:sz w:val="22"/>
          <w:szCs w:val="22"/>
        </w:rPr>
      </w:pPr>
    </w:p>
    <w:p w:rsidR="003511EB" w:rsidRDefault="003511EB" w:rsidP="003511EB">
      <w:pPr>
        <w:ind w:left="708"/>
        <w:rPr>
          <w:rFonts w:asciiTheme="minorHAnsi" w:hAnsiTheme="minorHAnsi" w:cstheme="minorHAnsi"/>
          <w:sz w:val="22"/>
          <w:szCs w:val="22"/>
        </w:rPr>
      </w:pPr>
      <w:r w:rsidRPr="00965B85">
        <w:rPr>
          <w:rFonts w:asciiTheme="minorHAnsi" w:hAnsiTheme="minorHAnsi" w:cstheme="minorHAnsi"/>
          <w:sz w:val="22"/>
          <w:szCs w:val="22"/>
          <w:u w:val="single"/>
        </w:rPr>
        <w:t xml:space="preserve">Vi anbefaler </w:t>
      </w:r>
      <w:r w:rsidRPr="00965B85">
        <w:rPr>
          <w:rFonts w:asciiTheme="minorHAnsi" w:hAnsiTheme="minorHAnsi" w:cstheme="minorHAnsi"/>
          <w:sz w:val="22"/>
          <w:szCs w:val="22"/>
        </w:rPr>
        <w:t>at N</w:t>
      </w:r>
      <w:r>
        <w:rPr>
          <w:rFonts w:asciiTheme="minorHAnsi" w:hAnsiTheme="minorHAnsi" w:cstheme="minorHAnsi"/>
          <w:sz w:val="22"/>
          <w:szCs w:val="22"/>
        </w:rPr>
        <w:t>orad</w:t>
      </w:r>
      <w:r w:rsidR="00AB2AE3">
        <w:rPr>
          <w:rFonts w:asciiTheme="minorHAnsi" w:hAnsiTheme="minorHAnsi" w:cstheme="minorHAnsi"/>
          <w:sz w:val="22"/>
          <w:szCs w:val="22"/>
        </w:rPr>
        <w:t xml:space="preserve"> </w:t>
      </w:r>
      <w:r>
        <w:rPr>
          <w:rFonts w:asciiTheme="minorHAnsi" w:hAnsiTheme="minorHAnsi" w:cstheme="minorHAnsi"/>
          <w:sz w:val="22"/>
          <w:szCs w:val="22"/>
        </w:rPr>
        <w:t>utvider og systematiserer innfallsvinkelen fra</w:t>
      </w:r>
      <w:r w:rsidRPr="00965B85">
        <w:rPr>
          <w:rFonts w:asciiTheme="minorHAnsi" w:hAnsiTheme="minorHAnsi" w:cstheme="minorHAnsi"/>
          <w:sz w:val="22"/>
          <w:szCs w:val="22"/>
        </w:rPr>
        <w:t xml:space="preserve"> </w:t>
      </w:r>
      <w:r w:rsidR="00AB2AE3">
        <w:rPr>
          <w:rFonts w:asciiTheme="minorHAnsi" w:hAnsiTheme="minorHAnsi" w:cstheme="minorHAnsi"/>
          <w:sz w:val="22"/>
          <w:szCs w:val="22"/>
        </w:rPr>
        <w:t xml:space="preserve">fokus på </w:t>
      </w:r>
      <w:r w:rsidRPr="00965B85">
        <w:rPr>
          <w:rFonts w:asciiTheme="minorHAnsi" w:hAnsiTheme="minorHAnsi" w:cstheme="minorHAnsi"/>
          <w:sz w:val="22"/>
          <w:szCs w:val="22"/>
        </w:rPr>
        <w:t>«resultater» og resultatrammever</w:t>
      </w:r>
      <w:r>
        <w:rPr>
          <w:rFonts w:asciiTheme="minorHAnsi" w:hAnsiTheme="minorHAnsi" w:cstheme="minorHAnsi"/>
          <w:sz w:val="22"/>
          <w:szCs w:val="22"/>
        </w:rPr>
        <w:t xml:space="preserve">k til </w:t>
      </w:r>
      <w:r w:rsidR="00AB2AE3">
        <w:rPr>
          <w:rFonts w:asciiTheme="minorHAnsi" w:hAnsiTheme="minorHAnsi" w:cstheme="minorHAnsi"/>
          <w:sz w:val="22"/>
          <w:szCs w:val="22"/>
        </w:rPr>
        <w:t xml:space="preserve">økt </w:t>
      </w:r>
      <w:r w:rsidRPr="004F4C95">
        <w:rPr>
          <w:rFonts w:asciiTheme="minorHAnsi" w:hAnsiTheme="minorHAnsi" w:cstheme="minorHAnsi"/>
          <w:sz w:val="22"/>
          <w:szCs w:val="22"/>
        </w:rPr>
        <w:t>vektlegging av en mer grunnleggende «endringsteori», som igjen knyttes til planlagte aktiviteter og tilta</w:t>
      </w:r>
      <w:r>
        <w:rPr>
          <w:rFonts w:asciiTheme="minorHAnsi" w:hAnsiTheme="minorHAnsi" w:cstheme="minorHAnsi"/>
          <w:sz w:val="22"/>
          <w:szCs w:val="22"/>
        </w:rPr>
        <w:t>k</w:t>
      </w:r>
      <w:r w:rsidRPr="00965B85">
        <w:rPr>
          <w:rFonts w:asciiTheme="minorHAnsi" w:hAnsiTheme="minorHAnsi" w:cstheme="minorHAnsi"/>
          <w:sz w:val="22"/>
          <w:szCs w:val="22"/>
        </w:rPr>
        <w:t xml:space="preserve">. </w:t>
      </w:r>
    </w:p>
    <w:p w:rsidR="003511EB" w:rsidRDefault="003511EB" w:rsidP="003511EB">
      <w:pPr>
        <w:ind w:left="708"/>
        <w:rPr>
          <w:rFonts w:asciiTheme="minorHAnsi" w:hAnsiTheme="minorHAnsi" w:cstheme="minorHAnsi"/>
          <w:sz w:val="22"/>
          <w:szCs w:val="22"/>
        </w:rPr>
      </w:pPr>
    </w:p>
    <w:p w:rsidR="003511EB" w:rsidRDefault="003511EB" w:rsidP="003511EB">
      <w:pPr>
        <w:ind w:left="708"/>
        <w:rPr>
          <w:rFonts w:asciiTheme="minorHAnsi" w:hAnsiTheme="minorHAnsi" w:cstheme="minorHAnsi"/>
          <w:sz w:val="22"/>
          <w:szCs w:val="22"/>
        </w:rPr>
      </w:pPr>
      <w:r>
        <w:rPr>
          <w:rFonts w:asciiTheme="minorHAnsi" w:hAnsiTheme="minorHAnsi" w:cstheme="minorHAnsi"/>
          <w:sz w:val="22"/>
          <w:szCs w:val="22"/>
        </w:rPr>
        <w:lastRenderedPageBreak/>
        <w:t>Fra et informasjonsfaglig synspunkt mener vi det</w:t>
      </w:r>
      <w:r w:rsidRPr="00965B85">
        <w:rPr>
          <w:rFonts w:asciiTheme="minorHAnsi" w:hAnsiTheme="minorHAnsi" w:cstheme="minorHAnsi"/>
          <w:sz w:val="22"/>
          <w:szCs w:val="22"/>
        </w:rPr>
        <w:t xml:space="preserve"> gir mer mening å </w:t>
      </w:r>
      <w:r>
        <w:rPr>
          <w:rFonts w:asciiTheme="minorHAnsi" w:hAnsiTheme="minorHAnsi" w:cstheme="minorHAnsi"/>
          <w:sz w:val="22"/>
          <w:szCs w:val="22"/>
        </w:rPr>
        <w:t>vurdere en sannsynliggjort sammenheng mellom en bakenforliggende endringsteori og hvordan tiltak og aktiviteter bygger opp under denne, heller enn hvordan det kan begrunnes at resultater kan forventes å komme fra tiltakene</w:t>
      </w:r>
      <w:r w:rsidRPr="00965B85">
        <w:rPr>
          <w:rFonts w:asciiTheme="minorHAnsi" w:hAnsiTheme="minorHAnsi" w:cstheme="minorHAnsi"/>
          <w:sz w:val="22"/>
          <w:szCs w:val="22"/>
        </w:rPr>
        <w:t xml:space="preserve">, siden informasjonsarbeid </w:t>
      </w:r>
      <w:r>
        <w:rPr>
          <w:rFonts w:asciiTheme="minorHAnsi" w:hAnsiTheme="minorHAnsi" w:cstheme="minorHAnsi"/>
          <w:sz w:val="22"/>
          <w:szCs w:val="22"/>
        </w:rPr>
        <w:t>sjeldent</w:t>
      </w:r>
      <w:r w:rsidRPr="00965B85">
        <w:rPr>
          <w:rFonts w:asciiTheme="minorHAnsi" w:hAnsiTheme="minorHAnsi" w:cstheme="minorHAnsi"/>
          <w:sz w:val="22"/>
          <w:szCs w:val="22"/>
        </w:rPr>
        <w:t xml:space="preserve"> gir lineære </w:t>
      </w:r>
      <w:r>
        <w:rPr>
          <w:rFonts w:asciiTheme="minorHAnsi" w:hAnsiTheme="minorHAnsi" w:cstheme="minorHAnsi"/>
          <w:sz w:val="22"/>
          <w:szCs w:val="22"/>
        </w:rPr>
        <w:t xml:space="preserve">eller etterprøvbare </w:t>
      </w:r>
      <w:r w:rsidRPr="00965B85">
        <w:rPr>
          <w:rFonts w:asciiTheme="minorHAnsi" w:hAnsiTheme="minorHAnsi" w:cstheme="minorHAnsi"/>
          <w:sz w:val="22"/>
          <w:szCs w:val="22"/>
        </w:rPr>
        <w:t xml:space="preserve">resultater fra aktivitet til </w:t>
      </w:r>
      <w:r>
        <w:rPr>
          <w:rFonts w:asciiTheme="minorHAnsi" w:hAnsiTheme="minorHAnsi" w:cstheme="minorHAnsi"/>
          <w:sz w:val="22"/>
          <w:szCs w:val="22"/>
        </w:rPr>
        <w:t>oppnådd endring</w:t>
      </w:r>
      <w:r w:rsidRPr="00965B85">
        <w:rPr>
          <w:rFonts w:asciiTheme="minorHAnsi" w:hAnsiTheme="minorHAnsi" w:cstheme="minorHAnsi"/>
          <w:sz w:val="22"/>
          <w:szCs w:val="22"/>
        </w:rPr>
        <w:t>.</w:t>
      </w:r>
      <w:r>
        <w:rPr>
          <w:rFonts w:asciiTheme="minorHAnsi" w:hAnsiTheme="minorHAnsi" w:cstheme="minorHAnsi"/>
          <w:sz w:val="22"/>
          <w:szCs w:val="22"/>
        </w:rPr>
        <w:t xml:space="preserve"> Det er heller ikke tilfredsstillende å vurdere søknader og rapportering ut fra «tiltak gjennomført og målgruppe nådd», da dette åpenbart ikke sier noe om reelle resultater ut over at planlagt aktivitet er utført. Når det er urealistisk å måle resultater på «</w:t>
      </w:r>
      <w:proofErr w:type="spellStart"/>
      <w:r>
        <w:rPr>
          <w:rFonts w:asciiTheme="minorHAnsi" w:hAnsiTheme="minorHAnsi" w:cstheme="minorHAnsi"/>
          <w:sz w:val="22"/>
          <w:szCs w:val="22"/>
        </w:rPr>
        <w:t>outcome</w:t>
      </w:r>
      <w:proofErr w:type="spellEnd"/>
      <w:r>
        <w:rPr>
          <w:rFonts w:asciiTheme="minorHAnsi" w:hAnsiTheme="minorHAnsi" w:cstheme="minorHAnsi"/>
          <w:sz w:val="22"/>
          <w:szCs w:val="22"/>
        </w:rPr>
        <w:t>-nivå» direkte fra aktiviteter, bør andre og mer analytiske tilnærminger legges til grunn.</w:t>
      </w:r>
      <w:r w:rsidRPr="00965B85">
        <w:rPr>
          <w:rFonts w:asciiTheme="minorHAnsi" w:hAnsiTheme="minorHAnsi" w:cstheme="minorHAnsi"/>
          <w:sz w:val="22"/>
          <w:szCs w:val="22"/>
        </w:rPr>
        <w:t xml:space="preserve"> En søknad og </w:t>
      </w:r>
      <w:r>
        <w:rPr>
          <w:rFonts w:asciiTheme="minorHAnsi" w:hAnsiTheme="minorHAnsi" w:cstheme="minorHAnsi"/>
          <w:sz w:val="22"/>
          <w:szCs w:val="22"/>
        </w:rPr>
        <w:t>tilhørende</w:t>
      </w:r>
      <w:r w:rsidRPr="00965B85">
        <w:rPr>
          <w:rFonts w:asciiTheme="minorHAnsi" w:hAnsiTheme="minorHAnsi" w:cstheme="minorHAnsi"/>
          <w:sz w:val="22"/>
          <w:szCs w:val="22"/>
        </w:rPr>
        <w:t xml:space="preserve"> rapportering bør vurderes ut fra om </w:t>
      </w:r>
      <w:r>
        <w:rPr>
          <w:rFonts w:asciiTheme="minorHAnsi" w:hAnsiTheme="minorHAnsi" w:cstheme="minorHAnsi"/>
          <w:sz w:val="22"/>
          <w:szCs w:val="22"/>
        </w:rPr>
        <w:t>søkeren sannsynliggjør</w:t>
      </w:r>
      <w:r w:rsidRPr="00965B85">
        <w:rPr>
          <w:rFonts w:asciiTheme="minorHAnsi" w:hAnsiTheme="minorHAnsi" w:cstheme="minorHAnsi"/>
          <w:sz w:val="22"/>
          <w:szCs w:val="22"/>
        </w:rPr>
        <w:t xml:space="preserve"> på overbevisende måte at aktivitetene bygger l</w:t>
      </w:r>
      <w:r>
        <w:rPr>
          <w:rFonts w:asciiTheme="minorHAnsi" w:hAnsiTheme="minorHAnsi" w:cstheme="minorHAnsi"/>
          <w:sz w:val="22"/>
          <w:szCs w:val="22"/>
        </w:rPr>
        <w:t>ogisk opp under endringsteorien og om helheten står i samsvar med Stortingets definerte formål.</w:t>
      </w:r>
    </w:p>
    <w:p w:rsidR="003511EB" w:rsidRDefault="003511EB" w:rsidP="003511EB">
      <w:pPr>
        <w:ind w:left="708"/>
        <w:rPr>
          <w:rFonts w:asciiTheme="minorHAnsi" w:hAnsiTheme="minorHAnsi" w:cstheme="minorHAnsi"/>
          <w:sz w:val="22"/>
          <w:szCs w:val="22"/>
          <w:u w:val="single"/>
        </w:rPr>
      </w:pPr>
    </w:p>
    <w:p w:rsidR="003511EB" w:rsidRDefault="003511EB" w:rsidP="003511EB">
      <w:pPr>
        <w:ind w:left="708"/>
        <w:rPr>
          <w:rFonts w:asciiTheme="minorHAnsi" w:hAnsiTheme="minorHAnsi" w:cstheme="minorHAnsi"/>
          <w:sz w:val="22"/>
          <w:szCs w:val="22"/>
        </w:rPr>
      </w:pPr>
      <w:r w:rsidRPr="00552E01">
        <w:rPr>
          <w:rFonts w:asciiTheme="minorHAnsi" w:hAnsiTheme="minorHAnsi" w:cstheme="minorHAnsi"/>
          <w:sz w:val="22"/>
          <w:szCs w:val="22"/>
          <w:u w:val="single"/>
        </w:rPr>
        <w:t xml:space="preserve">Vi anbefaler </w:t>
      </w:r>
      <w:r>
        <w:rPr>
          <w:rFonts w:asciiTheme="minorHAnsi" w:hAnsiTheme="minorHAnsi" w:cstheme="minorHAnsi"/>
          <w:sz w:val="22"/>
          <w:szCs w:val="22"/>
        </w:rPr>
        <w:t xml:space="preserve">at søknads- og rapporteringsskjemaene fortsatt holdes prosjektorienterte, men at det legges til rette for øke fleksibilitet innenfor og mellom planlagte tiltak, </w:t>
      </w:r>
      <w:r w:rsidR="00AB2AE3">
        <w:rPr>
          <w:rFonts w:asciiTheme="minorHAnsi" w:hAnsiTheme="minorHAnsi" w:cstheme="minorHAnsi"/>
          <w:sz w:val="22"/>
          <w:szCs w:val="22"/>
        </w:rPr>
        <w:t xml:space="preserve">samt </w:t>
      </w:r>
      <w:r>
        <w:rPr>
          <w:rFonts w:asciiTheme="minorHAnsi" w:hAnsiTheme="minorHAnsi" w:cstheme="minorHAnsi"/>
          <w:sz w:val="22"/>
          <w:szCs w:val="22"/>
        </w:rPr>
        <w:t xml:space="preserve">at en vurdering av sannsynliggjort sammenheng mellom endringsteori og planlagte tiltak brukes som det primære verktøy i saksbehandling av søknader. </w:t>
      </w:r>
    </w:p>
    <w:p w:rsidR="00AB2AE3" w:rsidRDefault="00AB2AE3" w:rsidP="003511EB">
      <w:pPr>
        <w:ind w:left="708"/>
        <w:rPr>
          <w:rFonts w:asciiTheme="minorHAnsi" w:hAnsiTheme="minorHAnsi" w:cstheme="minorHAnsi"/>
          <w:sz w:val="22"/>
          <w:szCs w:val="22"/>
        </w:rPr>
      </w:pPr>
    </w:p>
    <w:p w:rsidR="003511EB" w:rsidRDefault="003511EB" w:rsidP="003511EB">
      <w:pPr>
        <w:ind w:left="708"/>
        <w:rPr>
          <w:rFonts w:asciiTheme="minorHAnsi" w:hAnsiTheme="minorHAnsi" w:cstheme="minorHAnsi"/>
          <w:sz w:val="22"/>
          <w:szCs w:val="22"/>
        </w:rPr>
      </w:pPr>
      <w:r>
        <w:rPr>
          <w:rFonts w:asciiTheme="minorHAnsi" w:hAnsiTheme="minorHAnsi" w:cstheme="minorHAnsi"/>
          <w:sz w:val="22"/>
          <w:szCs w:val="22"/>
          <w:u w:val="single"/>
        </w:rPr>
        <w:t>I forlengelsen av det overnevnte ber vi</w:t>
      </w:r>
      <w:r w:rsidRPr="00965B85">
        <w:rPr>
          <w:rFonts w:asciiTheme="minorHAnsi" w:hAnsiTheme="minorHAnsi" w:cstheme="minorHAnsi"/>
          <w:sz w:val="22"/>
          <w:szCs w:val="22"/>
          <w:u w:val="single"/>
        </w:rPr>
        <w:t xml:space="preserve"> Norad vurdere</w:t>
      </w:r>
      <w:r>
        <w:rPr>
          <w:rFonts w:asciiTheme="minorHAnsi" w:hAnsiTheme="minorHAnsi" w:cstheme="minorHAnsi"/>
          <w:sz w:val="22"/>
          <w:szCs w:val="22"/>
        </w:rPr>
        <w:t xml:space="preserve"> å</w:t>
      </w:r>
      <w:r w:rsidRPr="00965B85">
        <w:rPr>
          <w:rFonts w:asciiTheme="minorHAnsi" w:hAnsiTheme="minorHAnsi" w:cstheme="minorHAnsi"/>
          <w:sz w:val="22"/>
          <w:szCs w:val="22"/>
          <w:u w:val="single"/>
        </w:rPr>
        <w:t xml:space="preserve"> </w:t>
      </w:r>
      <w:r w:rsidRPr="00965B85">
        <w:rPr>
          <w:rFonts w:asciiTheme="minorHAnsi" w:hAnsiTheme="minorHAnsi" w:cstheme="minorHAnsi"/>
          <w:sz w:val="22"/>
          <w:szCs w:val="22"/>
        </w:rPr>
        <w:t>bruke</w:t>
      </w:r>
      <w:r>
        <w:rPr>
          <w:rFonts w:asciiTheme="minorHAnsi" w:hAnsiTheme="minorHAnsi" w:cstheme="minorHAnsi"/>
          <w:sz w:val="22"/>
          <w:szCs w:val="22"/>
        </w:rPr>
        <w:t xml:space="preserve"> </w:t>
      </w:r>
      <w:r w:rsidR="00AB2AE3">
        <w:rPr>
          <w:rFonts w:asciiTheme="minorHAnsi" w:hAnsiTheme="minorHAnsi" w:cstheme="minorHAnsi"/>
          <w:sz w:val="22"/>
          <w:szCs w:val="22"/>
        </w:rPr>
        <w:t xml:space="preserve">FNs </w:t>
      </w:r>
      <w:r>
        <w:rPr>
          <w:rFonts w:asciiTheme="minorHAnsi" w:hAnsiTheme="minorHAnsi" w:cstheme="minorHAnsi"/>
          <w:sz w:val="22"/>
          <w:szCs w:val="22"/>
        </w:rPr>
        <w:t>b</w:t>
      </w:r>
      <w:r w:rsidRPr="00965B85">
        <w:rPr>
          <w:rFonts w:asciiTheme="minorHAnsi" w:hAnsiTheme="minorHAnsi" w:cstheme="minorHAnsi"/>
          <w:sz w:val="22"/>
          <w:szCs w:val="22"/>
        </w:rPr>
        <w:t>ærekraftsmål (</w:t>
      </w:r>
      <w:proofErr w:type="spellStart"/>
      <w:r w:rsidRPr="00965B85">
        <w:rPr>
          <w:rFonts w:asciiTheme="minorHAnsi" w:hAnsiTheme="minorHAnsi" w:cstheme="minorHAnsi"/>
          <w:sz w:val="22"/>
          <w:szCs w:val="22"/>
        </w:rPr>
        <w:t>SDG’ene</w:t>
      </w:r>
      <w:proofErr w:type="spellEnd"/>
      <w:r w:rsidRPr="00965B85">
        <w:rPr>
          <w:rFonts w:asciiTheme="minorHAnsi" w:hAnsiTheme="minorHAnsi" w:cstheme="minorHAnsi"/>
          <w:sz w:val="22"/>
          <w:szCs w:val="22"/>
        </w:rPr>
        <w:t>) aktivt som ønskede målsetninger i seg selv</w:t>
      </w:r>
      <w:r>
        <w:rPr>
          <w:rFonts w:asciiTheme="minorHAnsi" w:hAnsiTheme="minorHAnsi" w:cstheme="minorHAnsi"/>
          <w:sz w:val="22"/>
          <w:szCs w:val="22"/>
        </w:rPr>
        <w:t>, som aktive referansepunkt i tilpassede resultatrammeverk for søknader til informasjonsstøtten</w:t>
      </w:r>
      <w:r w:rsidRPr="00965B85">
        <w:rPr>
          <w:rFonts w:asciiTheme="minorHAnsi" w:hAnsiTheme="minorHAnsi" w:cstheme="minorHAnsi"/>
          <w:sz w:val="22"/>
          <w:szCs w:val="22"/>
        </w:rPr>
        <w:t xml:space="preserve">. Dette kan for eksempel implementeres </w:t>
      </w:r>
      <w:r>
        <w:rPr>
          <w:rFonts w:asciiTheme="minorHAnsi" w:hAnsiTheme="minorHAnsi" w:cstheme="minorHAnsi"/>
          <w:sz w:val="22"/>
          <w:szCs w:val="22"/>
        </w:rPr>
        <w:t xml:space="preserve">i praksis gjennom å bygge opp forvaltningsregimet slik at </w:t>
      </w:r>
      <w:proofErr w:type="spellStart"/>
      <w:r>
        <w:rPr>
          <w:rFonts w:asciiTheme="minorHAnsi" w:hAnsiTheme="minorHAnsi" w:cstheme="minorHAnsi"/>
          <w:sz w:val="22"/>
          <w:szCs w:val="22"/>
        </w:rPr>
        <w:t>SDG’ene</w:t>
      </w:r>
      <w:proofErr w:type="spellEnd"/>
      <w:r w:rsidRPr="00965B85">
        <w:rPr>
          <w:rFonts w:asciiTheme="minorHAnsi" w:hAnsiTheme="minorHAnsi" w:cstheme="minorHAnsi"/>
          <w:sz w:val="22"/>
          <w:szCs w:val="22"/>
        </w:rPr>
        <w:t xml:space="preserve"> settes som forventede målsetninger </w:t>
      </w:r>
      <w:r>
        <w:rPr>
          <w:rFonts w:asciiTheme="minorHAnsi" w:hAnsiTheme="minorHAnsi" w:cstheme="minorHAnsi"/>
          <w:sz w:val="22"/>
          <w:szCs w:val="22"/>
        </w:rPr>
        <w:t>(</w:t>
      </w:r>
      <w:proofErr w:type="spellStart"/>
      <w:r>
        <w:rPr>
          <w:rFonts w:asciiTheme="minorHAnsi" w:hAnsiTheme="minorHAnsi" w:cstheme="minorHAnsi"/>
          <w:sz w:val="22"/>
          <w:szCs w:val="22"/>
        </w:rPr>
        <w:t>impact</w:t>
      </w:r>
      <w:proofErr w:type="spellEnd"/>
      <w:r>
        <w:rPr>
          <w:rFonts w:asciiTheme="minorHAnsi" w:hAnsiTheme="minorHAnsi" w:cstheme="minorHAnsi"/>
          <w:sz w:val="22"/>
          <w:szCs w:val="22"/>
        </w:rPr>
        <w:t xml:space="preserve">) </w:t>
      </w:r>
      <w:r w:rsidRPr="00965B85">
        <w:rPr>
          <w:rFonts w:asciiTheme="minorHAnsi" w:hAnsiTheme="minorHAnsi" w:cstheme="minorHAnsi"/>
          <w:sz w:val="22"/>
          <w:szCs w:val="22"/>
        </w:rPr>
        <w:t>for arbeidet som støttes av informasjonsstøtten. I et slikt bilde bør søknader kunne beskrive hvilke SDG-undermål aktivitetene skal styrke oppnåelsen av. Konkrete SDG-mål bør være «endestasjonen» for endringsteorien og for</w:t>
      </w:r>
      <w:r>
        <w:rPr>
          <w:rFonts w:asciiTheme="minorHAnsi" w:hAnsiTheme="minorHAnsi" w:cstheme="minorHAnsi"/>
          <w:sz w:val="22"/>
          <w:szCs w:val="22"/>
        </w:rPr>
        <w:t xml:space="preserve"> skreddersydde</w:t>
      </w:r>
      <w:r w:rsidRPr="00965B85">
        <w:rPr>
          <w:rFonts w:asciiTheme="minorHAnsi" w:hAnsiTheme="minorHAnsi" w:cstheme="minorHAnsi"/>
          <w:sz w:val="22"/>
          <w:szCs w:val="22"/>
        </w:rPr>
        <w:t xml:space="preserve"> resultatrammeverk</w:t>
      </w:r>
      <w:r>
        <w:rPr>
          <w:rFonts w:asciiTheme="minorHAnsi" w:hAnsiTheme="minorHAnsi" w:cstheme="minorHAnsi"/>
          <w:sz w:val="22"/>
          <w:szCs w:val="22"/>
        </w:rPr>
        <w:t>-maler</w:t>
      </w:r>
      <w:r w:rsidR="00622798">
        <w:rPr>
          <w:rFonts w:asciiTheme="minorHAnsi" w:hAnsiTheme="minorHAnsi" w:cstheme="minorHAnsi"/>
          <w:sz w:val="22"/>
          <w:szCs w:val="22"/>
        </w:rPr>
        <w:t xml:space="preserve"> og videre foreslår vi at:</w:t>
      </w:r>
    </w:p>
    <w:p w:rsidR="00C003FC" w:rsidRPr="00965B85" w:rsidRDefault="00C003FC" w:rsidP="003511EB">
      <w:pPr>
        <w:ind w:left="708"/>
        <w:rPr>
          <w:rFonts w:asciiTheme="minorHAnsi" w:hAnsiTheme="minorHAnsi" w:cstheme="minorHAnsi"/>
          <w:sz w:val="22"/>
          <w:szCs w:val="22"/>
        </w:rPr>
      </w:pPr>
    </w:p>
    <w:p w:rsidR="003511EB" w:rsidRPr="00C003FC" w:rsidRDefault="003511EB" w:rsidP="00C003FC">
      <w:pPr>
        <w:pStyle w:val="Listeavsnitt"/>
        <w:numPr>
          <w:ilvl w:val="0"/>
          <w:numId w:val="10"/>
        </w:numPr>
        <w:rPr>
          <w:rFonts w:asciiTheme="minorHAnsi" w:hAnsiTheme="minorHAnsi" w:cstheme="minorHAnsi"/>
          <w:sz w:val="22"/>
          <w:szCs w:val="22"/>
        </w:rPr>
      </w:pPr>
      <w:r w:rsidRPr="00C003FC">
        <w:rPr>
          <w:rFonts w:asciiTheme="minorHAnsi" w:hAnsiTheme="minorHAnsi" w:cstheme="minorHAnsi"/>
          <w:sz w:val="22"/>
          <w:szCs w:val="22"/>
        </w:rPr>
        <w:t xml:space="preserve">Slike tilpassede resultatrammeverk for informasjonsstøtten må bygge logisk på sannsynliggjort endringsteori som den «bakenforliggende logikk» i tiltakene, fra output til </w:t>
      </w:r>
      <w:proofErr w:type="spellStart"/>
      <w:r w:rsidRPr="00C003FC">
        <w:rPr>
          <w:rFonts w:asciiTheme="minorHAnsi" w:hAnsiTheme="minorHAnsi" w:cstheme="minorHAnsi"/>
          <w:sz w:val="22"/>
          <w:szCs w:val="22"/>
        </w:rPr>
        <w:t>outcome</w:t>
      </w:r>
      <w:proofErr w:type="spellEnd"/>
      <w:r w:rsidRPr="00C003FC">
        <w:rPr>
          <w:rFonts w:asciiTheme="minorHAnsi" w:hAnsiTheme="minorHAnsi" w:cstheme="minorHAnsi"/>
          <w:sz w:val="22"/>
          <w:szCs w:val="22"/>
        </w:rPr>
        <w:t xml:space="preserve"> og </w:t>
      </w:r>
      <w:proofErr w:type="spellStart"/>
      <w:r w:rsidRPr="00C003FC">
        <w:rPr>
          <w:rFonts w:asciiTheme="minorHAnsi" w:hAnsiTheme="minorHAnsi" w:cstheme="minorHAnsi"/>
          <w:sz w:val="22"/>
          <w:szCs w:val="22"/>
        </w:rPr>
        <w:t>impact</w:t>
      </w:r>
      <w:proofErr w:type="spellEnd"/>
      <w:r w:rsidRPr="00C003FC">
        <w:rPr>
          <w:rFonts w:asciiTheme="minorHAnsi" w:hAnsiTheme="minorHAnsi" w:cstheme="minorHAnsi"/>
          <w:sz w:val="22"/>
          <w:szCs w:val="22"/>
        </w:rPr>
        <w:t>.</w:t>
      </w:r>
    </w:p>
    <w:p w:rsidR="003511EB" w:rsidRPr="00C003FC" w:rsidRDefault="003511EB" w:rsidP="00C003FC">
      <w:pPr>
        <w:pStyle w:val="Listeavsnitt"/>
        <w:numPr>
          <w:ilvl w:val="0"/>
          <w:numId w:val="10"/>
        </w:numPr>
        <w:rPr>
          <w:rFonts w:asciiTheme="minorHAnsi" w:hAnsiTheme="minorHAnsi" w:cstheme="minorHAnsi"/>
          <w:sz w:val="22"/>
          <w:szCs w:val="22"/>
        </w:rPr>
      </w:pPr>
      <w:proofErr w:type="spellStart"/>
      <w:r w:rsidRPr="00C003FC">
        <w:rPr>
          <w:rFonts w:asciiTheme="minorHAnsi" w:hAnsiTheme="minorHAnsi" w:cstheme="minorHAnsi"/>
          <w:sz w:val="22"/>
          <w:szCs w:val="22"/>
        </w:rPr>
        <w:t>Impact</w:t>
      </w:r>
      <w:proofErr w:type="spellEnd"/>
      <w:r w:rsidRPr="00C003FC">
        <w:rPr>
          <w:rFonts w:asciiTheme="minorHAnsi" w:hAnsiTheme="minorHAnsi" w:cstheme="minorHAnsi"/>
          <w:sz w:val="22"/>
          <w:szCs w:val="22"/>
        </w:rPr>
        <w:t xml:space="preserve"> bør igjen være at ett eller flere SDG-undermål styrkes i sannsynlig oppnåelse.</w:t>
      </w:r>
      <w:r w:rsidR="00C003FC" w:rsidRPr="00C003FC">
        <w:rPr>
          <w:rFonts w:asciiTheme="minorHAnsi" w:hAnsiTheme="minorHAnsi" w:cstheme="minorHAnsi"/>
          <w:sz w:val="22"/>
          <w:szCs w:val="22"/>
        </w:rPr>
        <w:t xml:space="preserve"> </w:t>
      </w:r>
      <w:r w:rsidR="00C003FC" w:rsidRPr="00622798">
        <w:rPr>
          <w:rFonts w:asciiTheme="minorHAnsi" w:hAnsiTheme="minorHAnsi" w:cstheme="minorHAnsi"/>
          <w:sz w:val="22"/>
          <w:szCs w:val="22"/>
        </w:rPr>
        <w:t>Rent praktisk kan det settes en øvre grense for antall undermål, siden mange tiltak antageligvis vil være relevante for flere undermål.</w:t>
      </w:r>
    </w:p>
    <w:p w:rsidR="003511EB" w:rsidRPr="00C003FC" w:rsidRDefault="003511EB" w:rsidP="00C003FC">
      <w:pPr>
        <w:pStyle w:val="Listeavsnitt"/>
        <w:numPr>
          <w:ilvl w:val="0"/>
          <w:numId w:val="10"/>
        </w:numPr>
        <w:rPr>
          <w:sz w:val="22"/>
          <w:szCs w:val="22"/>
        </w:rPr>
      </w:pPr>
      <w:r w:rsidRPr="00C003FC">
        <w:rPr>
          <w:rFonts w:asciiTheme="minorHAnsi" w:hAnsiTheme="minorHAnsi" w:cstheme="minorHAnsi"/>
          <w:sz w:val="22"/>
          <w:szCs w:val="22"/>
        </w:rPr>
        <w:t>Det bør være forenklede krav til mindre søknader, gjerne med en «stige» av forventinger til søknadens og rapporteringens omfang, hvor forventingene deles i kategorier etter størrelse, som for eksempel «søknader under 1 million, 1 – 3 millioner, over 3 millioner», eller lignende. Gjennomgående bør alle kategorier bør søknader og rapporteringer bygges opp og vurderes etter om det kan sannsynliggjøres en sammenheng mellom endringsteorien som presenteres og de tiltakene som det søkes om å få finansiert.</w:t>
      </w:r>
    </w:p>
    <w:p w:rsidR="003511EB" w:rsidRDefault="003511EB" w:rsidP="003511EB">
      <w:pPr>
        <w:rPr>
          <w:rFonts w:asciiTheme="minorHAnsi" w:hAnsiTheme="minorHAnsi" w:cstheme="minorHAnsi"/>
          <w:sz w:val="22"/>
          <w:szCs w:val="22"/>
        </w:rPr>
      </w:pPr>
    </w:p>
    <w:p w:rsidR="004A61AF" w:rsidRDefault="004A61AF" w:rsidP="003511EB">
      <w:pPr>
        <w:rPr>
          <w:rFonts w:asciiTheme="minorHAnsi" w:hAnsiTheme="minorHAnsi" w:cstheme="minorHAnsi"/>
          <w:sz w:val="22"/>
          <w:szCs w:val="22"/>
        </w:rPr>
      </w:pPr>
    </w:p>
    <w:p w:rsidR="00E05208" w:rsidRPr="00E05208" w:rsidRDefault="00E05208" w:rsidP="00E05208">
      <w:pPr>
        <w:pBdr>
          <w:bottom w:val="single" w:sz="4" w:space="1" w:color="auto"/>
        </w:pBdr>
        <w:rPr>
          <w:rFonts w:asciiTheme="minorHAnsi" w:hAnsiTheme="minorHAnsi" w:cstheme="minorHAnsi"/>
          <w:b/>
        </w:rPr>
      </w:pPr>
      <w:r w:rsidRPr="00E05208">
        <w:rPr>
          <w:rFonts w:asciiTheme="minorHAnsi" w:hAnsiTheme="minorHAnsi" w:cstheme="minorHAnsi"/>
          <w:b/>
        </w:rPr>
        <w:t>Tema 6: Kommunikasjonsfaglig forankring</w:t>
      </w:r>
    </w:p>
    <w:p w:rsidR="00E05208" w:rsidRDefault="00E05208" w:rsidP="003511EB">
      <w:pPr>
        <w:rPr>
          <w:rFonts w:asciiTheme="minorHAnsi" w:hAnsiTheme="minorHAnsi" w:cstheme="minorHAnsi"/>
          <w:sz w:val="22"/>
          <w:szCs w:val="22"/>
        </w:rPr>
      </w:pPr>
    </w:p>
    <w:p w:rsidR="00E05208" w:rsidRPr="003511EB" w:rsidRDefault="00E05208" w:rsidP="00E05208">
      <w:pPr>
        <w:ind w:left="708"/>
        <w:rPr>
          <w:rFonts w:asciiTheme="minorHAnsi" w:hAnsiTheme="minorHAnsi" w:cstheme="minorHAnsi"/>
          <w:sz w:val="22"/>
          <w:szCs w:val="22"/>
        </w:rPr>
      </w:pPr>
      <w:r w:rsidRPr="00AB2AE3">
        <w:rPr>
          <w:rFonts w:asciiTheme="minorHAnsi" w:hAnsiTheme="minorHAnsi" w:cstheme="minorHAnsi"/>
          <w:sz w:val="22"/>
          <w:szCs w:val="22"/>
          <w:u w:val="single"/>
        </w:rPr>
        <w:t xml:space="preserve">Vi er åpne for </w:t>
      </w:r>
      <w:r>
        <w:rPr>
          <w:rFonts w:asciiTheme="minorHAnsi" w:hAnsiTheme="minorHAnsi" w:cstheme="minorHAnsi"/>
          <w:sz w:val="22"/>
          <w:szCs w:val="22"/>
        </w:rPr>
        <w:t xml:space="preserve">at evalueringens anbefaling om </w:t>
      </w:r>
      <w:r w:rsidR="00C003FC">
        <w:rPr>
          <w:rFonts w:asciiTheme="minorHAnsi" w:hAnsiTheme="minorHAnsi" w:cstheme="minorHAnsi"/>
          <w:sz w:val="22"/>
          <w:szCs w:val="22"/>
        </w:rPr>
        <w:t>«</w:t>
      </w:r>
      <w:r w:rsidRPr="00AB2AE3">
        <w:rPr>
          <w:rFonts w:asciiTheme="minorHAnsi" w:hAnsiTheme="minorHAnsi" w:cstheme="minorHAnsi"/>
          <w:i/>
          <w:sz w:val="22"/>
          <w:szCs w:val="22"/>
        </w:rPr>
        <w:t xml:space="preserve">en klarere </w:t>
      </w:r>
      <w:r>
        <w:rPr>
          <w:rFonts w:asciiTheme="minorHAnsi" w:hAnsiTheme="minorHAnsi" w:cstheme="minorHAnsi"/>
          <w:i/>
          <w:sz w:val="22"/>
          <w:szCs w:val="22"/>
        </w:rPr>
        <w:t>kommunik</w:t>
      </w:r>
      <w:r w:rsidRPr="00AB2AE3">
        <w:rPr>
          <w:rFonts w:asciiTheme="minorHAnsi" w:hAnsiTheme="minorHAnsi" w:cstheme="minorHAnsi"/>
          <w:i/>
          <w:sz w:val="22"/>
          <w:szCs w:val="22"/>
        </w:rPr>
        <w:t>asjonsfaglig forankring av informasjonsstøtten</w:t>
      </w:r>
      <w:r w:rsidR="00C003FC">
        <w:rPr>
          <w:rFonts w:asciiTheme="minorHAnsi" w:hAnsiTheme="minorHAnsi" w:cstheme="minorHAnsi"/>
          <w:i/>
          <w:sz w:val="22"/>
          <w:szCs w:val="22"/>
        </w:rPr>
        <w:t>»</w:t>
      </w:r>
      <w:r>
        <w:rPr>
          <w:rFonts w:asciiTheme="minorHAnsi" w:hAnsiTheme="minorHAnsi" w:cstheme="minorHAnsi"/>
          <w:sz w:val="22"/>
          <w:szCs w:val="22"/>
        </w:rPr>
        <w:t xml:space="preserve"> kan være </w:t>
      </w:r>
      <w:r w:rsidR="00C003FC" w:rsidRPr="00622798">
        <w:rPr>
          <w:rFonts w:asciiTheme="minorHAnsi" w:hAnsiTheme="minorHAnsi" w:cstheme="minorHAnsi"/>
          <w:sz w:val="22"/>
          <w:szCs w:val="22"/>
        </w:rPr>
        <w:t>hensiktsmessig</w:t>
      </w:r>
      <w:r w:rsidRPr="00622798">
        <w:rPr>
          <w:rFonts w:asciiTheme="minorHAnsi" w:hAnsiTheme="minorHAnsi" w:cstheme="minorHAnsi"/>
          <w:sz w:val="22"/>
          <w:szCs w:val="22"/>
        </w:rPr>
        <w:t>.</w:t>
      </w:r>
      <w:r>
        <w:rPr>
          <w:rFonts w:asciiTheme="minorHAnsi" w:hAnsiTheme="minorHAnsi" w:cstheme="minorHAnsi"/>
          <w:sz w:val="22"/>
          <w:szCs w:val="22"/>
        </w:rPr>
        <w:t xml:space="preserve"> Vi anbefaler at dette i så fall knyttes til de tre sentrale </w:t>
      </w:r>
      <w:r w:rsidRPr="00961E60">
        <w:rPr>
          <w:rFonts w:asciiTheme="minorHAnsi" w:hAnsiTheme="minorHAnsi" w:cstheme="minorHAnsi"/>
          <w:sz w:val="22"/>
          <w:szCs w:val="22"/>
        </w:rPr>
        <w:t>begrepene som ligger i Norads regelverk</w:t>
      </w:r>
      <w:r>
        <w:rPr>
          <w:rFonts w:asciiTheme="minorHAnsi" w:hAnsiTheme="minorHAnsi" w:cstheme="minorHAnsi"/>
          <w:sz w:val="22"/>
          <w:szCs w:val="22"/>
        </w:rPr>
        <w:t xml:space="preserve"> og som stammer fra Stortingets vedtatte formål for støtteordningen</w:t>
      </w:r>
      <w:r w:rsidRPr="00961E60">
        <w:rPr>
          <w:rFonts w:asciiTheme="minorHAnsi" w:hAnsiTheme="minorHAnsi" w:cstheme="minorHAnsi"/>
          <w:sz w:val="22"/>
          <w:szCs w:val="22"/>
        </w:rPr>
        <w:t xml:space="preserve">: kunnskap, kritisk debatt og demokratisk deltakelse. </w:t>
      </w:r>
      <w:r>
        <w:rPr>
          <w:rFonts w:asciiTheme="minorHAnsi" w:hAnsiTheme="minorHAnsi" w:cstheme="minorHAnsi"/>
          <w:sz w:val="22"/>
          <w:szCs w:val="22"/>
        </w:rPr>
        <w:t>Det er likevel uklar</w:t>
      </w:r>
      <w:r w:rsidR="00C003FC">
        <w:rPr>
          <w:rFonts w:asciiTheme="minorHAnsi" w:hAnsiTheme="minorHAnsi" w:cstheme="minorHAnsi"/>
          <w:sz w:val="22"/>
          <w:szCs w:val="22"/>
        </w:rPr>
        <w:t>t</w:t>
      </w:r>
      <w:r>
        <w:rPr>
          <w:rFonts w:asciiTheme="minorHAnsi" w:hAnsiTheme="minorHAnsi" w:cstheme="minorHAnsi"/>
          <w:sz w:val="22"/>
          <w:szCs w:val="22"/>
        </w:rPr>
        <w:t xml:space="preserve"> hva en sterkere kommunik</w:t>
      </w:r>
      <w:r w:rsidRPr="00961E60">
        <w:rPr>
          <w:rFonts w:asciiTheme="minorHAnsi" w:hAnsiTheme="minorHAnsi" w:cstheme="minorHAnsi"/>
          <w:sz w:val="22"/>
          <w:szCs w:val="22"/>
        </w:rPr>
        <w:t>asjonsfaglig forankring skulle</w:t>
      </w:r>
      <w:r>
        <w:rPr>
          <w:rFonts w:asciiTheme="minorHAnsi" w:hAnsiTheme="minorHAnsi" w:cstheme="minorHAnsi"/>
          <w:sz w:val="22"/>
          <w:szCs w:val="22"/>
        </w:rPr>
        <w:t xml:space="preserve"> kunne</w:t>
      </w:r>
      <w:r w:rsidRPr="00961E60">
        <w:rPr>
          <w:rFonts w:asciiTheme="minorHAnsi" w:hAnsiTheme="minorHAnsi" w:cstheme="minorHAnsi"/>
          <w:sz w:val="22"/>
          <w:szCs w:val="22"/>
        </w:rPr>
        <w:t xml:space="preserve"> innebære i praksis, utover det som</w:t>
      </w:r>
      <w:r>
        <w:rPr>
          <w:rFonts w:asciiTheme="minorHAnsi" w:hAnsiTheme="minorHAnsi" w:cstheme="minorHAnsi"/>
          <w:sz w:val="22"/>
          <w:szCs w:val="22"/>
        </w:rPr>
        <w:t xml:space="preserve"> allerede ligger i regelverket. </w:t>
      </w:r>
      <w:r w:rsidR="00C003FC" w:rsidRPr="00622798">
        <w:rPr>
          <w:rFonts w:asciiTheme="minorHAnsi" w:hAnsiTheme="minorHAnsi" w:cstheme="minorHAnsi"/>
          <w:sz w:val="22"/>
          <w:szCs w:val="22"/>
        </w:rPr>
        <w:t>Om denne anbefalingen blir konkretisert vil vi gjerne dele våre vurderinger.</w:t>
      </w:r>
    </w:p>
    <w:p w:rsidR="00C104BD" w:rsidRDefault="00C104BD">
      <w:pPr>
        <w:rPr>
          <w:rFonts w:asciiTheme="minorHAnsi" w:hAnsiTheme="minorHAnsi" w:cstheme="minorHAnsi"/>
          <w:sz w:val="22"/>
          <w:szCs w:val="22"/>
        </w:rPr>
      </w:pPr>
    </w:p>
    <w:p w:rsidR="004A61AF" w:rsidRPr="00930F41" w:rsidRDefault="004A61AF">
      <w:pPr>
        <w:rPr>
          <w:rFonts w:asciiTheme="minorHAnsi" w:hAnsiTheme="minorHAnsi" w:cstheme="minorHAnsi"/>
          <w:sz w:val="22"/>
          <w:szCs w:val="22"/>
        </w:rPr>
      </w:pPr>
    </w:p>
    <w:p w:rsidR="00251C13" w:rsidRPr="004772E3" w:rsidRDefault="00251C13" w:rsidP="00251C13">
      <w:pPr>
        <w:pBdr>
          <w:bottom w:val="single" w:sz="4" w:space="1" w:color="auto"/>
        </w:pBdr>
        <w:rPr>
          <w:rFonts w:asciiTheme="minorHAnsi" w:hAnsiTheme="minorHAnsi" w:cstheme="minorHAnsi"/>
          <w:b/>
        </w:rPr>
      </w:pPr>
      <w:r w:rsidRPr="004772E3">
        <w:rPr>
          <w:rFonts w:asciiTheme="minorHAnsi" w:hAnsiTheme="minorHAnsi" w:cstheme="minorHAnsi"/>
          <w:b/>
        </w:rPr>
        <w:lastRenderedPageBreak/>
        <w:t xml:space="preserve">Tema </w:t>
      </w:r>
      <w:r w:rsidR="00E05208">
        <w:rPr>
          <w:rFonts w:asciiTheme="minorHAnsi" w:hAnsiTheme="minorHAnsi" w:cstheme="minorHAnsi"/>
          <w:b/>
        </w:rPr>
        <w:t>7</w:t>
      </w:r>
      <w:r w:rsidRPr="004772E3">
        <w:rPr>
          <w:rFonts w:asciiTheme="minorHAnsi" w:hAnsiTheme="minorHAnsi" w:cstheme="minorHAnsi"/>
          <w:b/>
        </w:rPr>
        <w:t xml:space="preserve">: Plassering </w:t>
      </w:r>
      <w:r w:rsidR="00F20E08">
        <w:rPr>
          <w:rFonts w:asciiTheme="minorHAnsi" w:hAnsiTheme="minorHAnsi" w:cstheme="minorHAnsi"/>
          <w:b/>
        </w:rPr>
        <w:t xml:space="preserve">og organisering </w:t>
      </w:r>
      <w:r w:rsidRPr="004772E3">
        <w:rPr>
          <w:rFonts w:asciiTheme="minorHAnsi" w:hAnsiTheme="minorHAnsi" w:cstheme="minorHAnsi"/>
          <w:b/>
        </w:rPr>
        <w:t>av forvaltningen</w:t>
      </w:r>
      <w:r w:rsidR="00F20E08">
        <w:rPr>
          <w:rFonts w:asciiTheme="minorHAnsi" w:hAnsiTheme="minorHAnsi" w:cstheme="minorHAnsi"/>
          <w:b/>
        </w:rPr>
        <w:t xml:space="preserve"> </w:t>
      </w:r>
    </w:p>
    <w:p w:rsidR="00251C13" w:rsidRPr="00930F41" w:rsidRDefault="00251C13" w:rsidP="00251C13">
      <w:pPr>
        <w:rPr>
          <w:rFonts w:asciiTheme="minorHAnsi" w:hAnsiTheme="minorHAnsi" w:cstheme="minorHAnsi"/>
          <w:sz w:val="22"/>
          <w:szCs w:val="22"/>
        </w:rPr>
      </w:pPr>
    </w:p>
    <w:p w:rsidR="004772E3" w:rsidRDefault="004772E3" w:rsidP="00F20E08">
      <w:pPr>
        <w:ind w:left="708"/>
        <w:rPr>
          <w:rFonts w:asciiTheme="minorHAnsi" w:hAnsiTheme="minorHAnsi" w:cstheme="minorHAnsi"/>
          <w:sz w:val="22"/>
          <w:szCs w:val="22"/>
        </w:rPr>
      </w:pPr>
      <w:r w:rsidRPr="00930F41">
        <w:rPr>
          <w:rFonts w:asciiTheme="minorHAnsi" w:hAnsiTheme="minorHAnsi" w:cstheme="minorHAnsi"/>
          <w:sz w:val="22"/>
          <w:szCs w:val="22"/>
        </w:rPr>
        <w:t>Norads evaluering anbefalte at:</w:t>
      </w:r>
    </w:p>
    <w:p w:rsidR="002621CA" w:rsidRPr="00930F41" w:rsidRDefault="002621CA" w:rsidP="00F20E08">
      <w:pPr>
        <w:ind w:left="708"/>
        <w:rPr>
          <w:rFonts w:asciiTheme="minorHAnsi" w:hAnsiTheme="minorHAnsi" w:cstheme="minorHAnsi"/>
          <w:sz w:val="22"/>
          <w:szCs w:val="22"/>
        </w:rPr>
      </w:pPr>
    </w:p>
    <w:p w:rsidR="004772E3" w:rsidRDefault="004772E3" w:rsidP="00F20E08">
      <w:pPr>
        <w:ind w:left="1416"/>
        <w:rPr>
          <w:rFonts w:asciiTheme="minorHAnsi" w:hAnsiTheme="minorHAnsi" w:cstheme="minorHAnsi"/>
          <w:sz w:val="22"/>
          <w:szCs w:val="22"/>
        </w:rPr>
      </w:pPr>
      <w:r>
        <w:rPr>
          <w:rFonts w:asciiTheme="minorHAnsi" w:hAnsiTheme="minorHAnsi" w:cstheme="minorHAnsi"/>
          <w:sz w:val="22"/>
          <w:szCs w:val="22"/>
        </w:rPr>
        <w:t>«</w:t>
      </w:r>
      <w:r w:rsidRPr="00930F41">
        <w:rPr>
          <w:rFonts w:asciiTheme="minorHAnsi" w:hAnsiTheme="minorHAnsi" w:cstheme="minorHAnsi"/>
          <w:sz w:val="22"/>
          <w:szCs w:val="22"/>
        </w:rPr>
        <w:t>Det anbefales også at denne tilskuddsordningen administreres på en annen måte enn de allmenne støtteordningene for sivilsamfunnsorganisasjoner i Norads avdeling for sivilt samfunn (</w:t>
      </w:r>
      <w:proofErr w:type="spellStart"/>
      <w:r w:rsidRPr="00930F41">
        <w:rPr>
          <w:rFonts w:asciiTheme="minorHAnsi" w:hAnsiTheme="minorHAnsi" w:cstheme="minorHAnsi"/>
          <w:sz w:val="22"/>
          <w:szCs w:val="22"/>
        </w:rPr>
        <w:t>SIVSA</w:t>
      </w:r>
      <w:proofErr w:type="spellEnd"/>
      <w:r w:rsidRPr="00930F41">
        <w:rPr>
          <w:rFonts w:asciiTheme="minorHAnsi" w:hAnsiTheme="minorHAnsi" w:cstheme="minorHAnsi"/>
          <w:sz w:val="22"/>
          <w:szCs w:val="22"/>
        </w:rPr>
        <w:t>). Ordningen kan enten administreres av et eget kommunikasjonsfaglig organ, eller ved at det knyttes kommunikasjonsfaglig kompetanse til forvaltningen av ordningen</w:t>
      </w:r>
      <w:r>
        <w:rPr>
          <w:rFonts w:asciiTheme="minorHAnsi" w:hAnsiTheme="minorHAnsi" w:cstheme="minorHAnsi"/>
          <w:sz w:val="22"/>
          <w:szCs w:val="22"/>
        </w:rPr>
        <w:t>.»</w:t>
      </w:r>
    </w:p>
    <w:p w:rsidR="00251C13" w:rsidRPr="00930F41" w:rsidRDefault="00251C13" w:rsidP="00251C13">
      <w:pPr>
        <w:rPr>
          <w:rFonts w:asciiTheme="minorHAnsi" w:hAnsiTheme="minorHAnsi" w:cstheme="minorHAnsi"/>
          <w:sz w:val="22"/>
          <w:szCs w:val="22"/>
        </w:rPr>
      </w:pPr>
    </w:p>
    <w:p w:rsidR="00BA7257" w:rsidRDefault="007A0C42" w:rsidP="00F20E08">
      <w:pPr>
        <w:ind w:left="708"/>
        <w:rPr>
          <w:rFonts w:asciiTheme="minorHAnsi" w:hAnsiTheme="minorHAnsi" w:cstheme="minorHAnsi"/>
          <w:sz w:val="22"/>
          <w:szCs w:val="22"/>
        </w:rPr>
      </w:pPr>
      <w:r>
        <w:rPr>
          <w:rFonts w:asciiTheme="minorHAnsi" w:hAnsiTheme="minorHAnsi" w:cstheme="minorHAnsi"/>
          <w:sz w:val="22"/>
          <w:szCs w:val="22"/>
        </w:rPr>
        <w:t>Denne anbefalingen ble ikke nevnt i UDs oppfølgingsnotat, men l</w:t>
      </w:r>
      <w:r w:rsidR="004772E3">
        <w:rPr>
          <w:rFonts w:asciiTheme="minorHAnsi" w:hAnsiTheme="minorHAnsi" w:cstheme="minorHAnsi"/>
          <w:sz w:val="22"/>
          <w:szCs w:val="22"/>
        </w:rPr>
        <w:t xml:space="preserve">iknende anbefalinger har også framkommet i tidligere evalueringer. Bakgrunnen er dels at 1) tankegods og forvaltningspraksis i Norad er preget av forvaltning av bistand til utviklingsland </w:t>
      </w:r>
      <w:r>
        <w:rPr>
          <w:rFonts w:asciiTheme="minorHAnsi" w:hAnsiTheme="minorHAnsi" w:cstheme="minorHAnsi"/>
          <w:sz w:val="22"/>
          <w:szCs w:val="22"/>
        </w:rPr>
        <w:t xml:space="preserve">(ikke sivilsamfunnets virksomhet i Norge) </w:t>
      </w:r>
      <w:r w:rsidR="004772E3">
        <w:rPr>
          <w:rFonts w:asciiTheme="minorHAnsi" w:hAnsiTheme="minorHAnsi" w:cstheme="minorHAnsi"/>
          <w:sz w:val="22"/>
          <w:szCs w:val="22"/>
        </w:rPr>
        <w:t>og dels at 2) en støtteordning forankret i Stortinget bør ha en klarere avstand t</w:t>
      </w:r>
      <w:r w:rsidR="00F20E08">
        <w:rPr>
          <w:rFonts w:asciiTheme="minorHAnsi" w:hAnsiTheme="minorHAnsi" w:cstheme="minorHAnsi"/>
          <w:sz w:val="22"/>
          <w:szCs w:val="22"/>
        </w:rPr>
        <w:t>il politiske ledelse i UD (</w:t>
      </w:r>
      <w:proofErr w:type="spellStart"/>
      <w:r w:rsidR="00F20E08">
        <w:rPr>
          <w:rFonts w:asciiTheme="minorHAnsi" w:hAnsiTheme="minorHAnsi" w:cstheme="minorHAnsi"/>
          <w:sz w:val="22"/>
          <w:szCs w:val="22"/>
        </w:rPr>
        <w:t>jm</w:t>
      </w:r>
      <w:proofErr w:type="spellEnd"/>
      <w:r w:rsidR="00F20E08">
        <w:rPr>
          <w:rFonts w:asciiTheme="minorHAnsi" w:hAnsiTheme="minorHAnsi" w:cstheme="minorHAnsi"/>
          <w:sz w:val="22"/>
          <w:szCs w:val="22"/>
        </w:rPr>
        <w:t xml:space="preserve">. </w:t>
      </w:r>
      <w:r w:rsidR="00BA7257">
        <w:rPr>
          <w:rFonts w:asciiTheme="minorHAnsi" w:hAnsiTheme="minorHAnsi" w:cstheme="minorHAnsi"/>
          <w:sz w:val="22"/>
          <w:szCs w:val="22"/>
        </w:rPr>
        <w:t xml:space="preserve">tidligere </w:t>
      </w:r>
      <w:r w:rsidR="00F20E08">
        <w:rPr>
          <w:rFonts w:asciiTheme="minorHAnsi" w:hAnsiTheme="minorHAnsi" w:cstheme="minorHAnsi"/>
          <w:sz w:val="22"/>
          <w:szCs w:val="22"/>
        </w:rPr>
        <w:t>m</w:t>
      </w:r>
      <w:r w:rsidR="004772E3">
        <w:rPr>
          <w:rFonts w:asciiTheme="minorHAnsi" w:hAnsiTheme="minorHAnsi" w:cstheme="minorHAnsi"/>
          <w:sz w:val="22"/>
          <w:szCs w:val="22"/>
        </w:rPr>
        <w:t xml:space="preserve">eldinger om at støttemottakere har vært engstelige for å miste støtten, dersom de kritiserer regjeringen). </w:t>
      </w:r>
    </w:p>
    <w:p w:rsidR="00BA7257" w:rsidRDefault="00BA7257" w:rsidP="00F20E08">
      <w:pPr>
        <w:ind w:left="708"/>
        <w:rPr>
          <w:rFonts w:asciiTheme="minorHAnsi" w:hAnsiTheme="minorHAnsi" w:cstheme="minorHAnsi"/>
          <w:sz w:val="22"/>
          <w:szCs w:val="22"/>
        </w:rPr>
      </w:pPr>
    </w:p>
    <w:p w:rsidR="00251C13" w:rsidRDefault="00BA7257" w:rsidP="00F20E08">
      <w:pPr>
        <w:ind w:left="708"/>
        <w:rPr>
          <w:rFonts w:asciiTheme="minorHAnsi" w:hAnsiTheme="minorHAnsi" w:cstheme="minorHAnsi"/>
          <w:sz w:val="22"/>
          <w:szCs w:val="22"/>
        </w:rPr>
      </w:pPr>
      <w:r w:rsidRPr="00BA7257">
        <w:rPr>
          <w:rFonts w:asciiTheme="minorHAnsi" w:hAnsiTheme="minorHAnsi" w:cstheme="minorHAnsi"/>
          <w:sz w:val="22"/>
          <w:szCs w:val="22"/>
          <w:u w:val="single"/>
        </w:rPr>
        <w:t>Vi mener</w:t>
      </w:r>
      <w:r>
        <w:rPr>
          <w:rFonts w:asciiTheme="minorHAnsi" w:hAnsiTheme="minorHAnsi" w:cstheme="minorHAnsi"/>
          <w:sz w:val="22"/>
          <w:szCs w:val="22"/>
        </w:rPr>
        <w:t xml:space="preserve"> at b</w:t>
      </w:r>
      <w:r w:rsidR="004772E3">
        <w:rPr>
          <w:rFonts w:asciiTheme="minorHAnsi" w:hAnsiTheme="minorHAnsi" w:cstheme="minorHAnsi"/>
          <w:sz w:val="22"/>
          <w:szCs w:val="22"/>
        </w:rPr>
        <w:t>egge</w:t>
      </w:r>
      <w:r>
        <w:rPr>
          <w:rFonts w:asciiTheme="minorHAnsi" w:hAnsiTheme="minorHAnsi" w:cstheme="minorHAnsi"/>
          <w:sz w:val="22"/>
          <w:szCs w:val="22"/>
        </w:rPr>
        <w:t xml:space="preserve"> ovenfor nevnte</w:t>
      </w:r>
      <w:r w:rsidR="004772E3">
        <w:rPr>
          <w:rFonts w:asciiTheme="minorHAnsi" w:hAnsiTheme="minorHAnsi" w:cstheme="minorHAnsi"/>
          <w:sz w:val="22"/>
          <w:szCs w:val="22"/>
        </w:rPr>
        <w:t xml:space="preserve"> forhold vil kunne aktualiseres ytterligere i forbindelse med den forestående forvaltningsreformen av Norad – enten </w:t>
      </w:r>
      <w:r w:rsidR="007A0C42">
        <w:rPr>
          <w:rFonts w:asciiTheme="minorHAnsi" w:hAnsiTheme="minorHAnsi" w:cstheme="minorHAnsi"/>
          <w:sz w:val="22"/>
          <w:szCs w:val="22"/>
        </w:rPr>
        <w:t xml:space="preserve">regjeringen går </w:t>
      </w:r>
      <w:r w:rsidR="004F478E">
        <w:rPr>
          <w:rFonts w:asciiTheme="minorHAnsi" w:hAnsiTheme="minorHAnsi" w:cstheme="minorHAnsi"/>
          <w:sz w:val="22"/>
          <w:szCs w:val="22"/>
        </w:rPr>
        <w:t xml:space="preserve">inn for </w:t>
      </w:r>
      <w:r w:rsidR="007A0C42">
        <w:rPr>
          <w:rFonts w:asciiTheme="minorHAnsi" w:hAnsiTheme="minorHAnsi" w:cstheme="minorHAnsi"/>
          <w:sz w:val="22"/>
          <w:szCs w:val="22"/>
        </w:rPr>
        <w:t>en strømlinjeforming av Norad som forvaltningsorgan eller i</w:t>
      </w:r>
      <w:r w:rsidR="004772E3">
        <w:rPr>
          <w:rFonts w:asciiTheme="minorHAnsi" w:hAnsiTheme="minorHAnsi" w:cstheme="minorHAnsi"/>
          <w:sz w:val="22"/>
          <w:szCs w:val="22"/>
        </w:rPr>
        <w:t xml:space="preserve">ntegrering av Norad i </w:t>
      </w:r>
      <w:r w:rsidR="007A0C42">
        <w:rPr>
          <w:rFonts w:asciiTheme="minorHAnsi" w:hAnsiTheme="minorHAnsi" w:cstheme="minorHAnsi"/>
          <w:sz w:val="22"/>
          <w:szCs w:val="22"/>
        </w:rPr>
        <w:t xml:space="preserve">UD. </w:t>
      </w:r>
      <w:r w:rsidR="00F20E08">
        <w:rPr>
          <w:rFonts w:asciiTheme="minorHAnsi" w:hAnsiTheme="minorHAnsi" w:cstheme="minorHAnsi"/>
          <w:sz w:val="22"/>
          <w:szCs w:val="22"/>
        </w:rPr>
        <w:t>Vi har merket oss at rapporten fra UDs prosjektgruppe (fase</w:t>
      </w:r>
      <w:r w:rsidR="006F03EE">
        <w:rPr>
          <w:rFonts w:asciiTheme="minorHAnsi" w:hAnsiTheme="minorHAnsi" w:cstheme="minorHAnsi"/>
          <w:sz w:val="22"/>
          <w:szCs w:val="22"/>
        </w:rPr>
        <w:t xml:space="preserve"> 1</w:t>
      </w:r>
      <w:r w:rsidR="00F20E08">
        <w:rPr>
          <w:rFonts w:asciiTheme="minorHAnsi" w:hAnsiTheme="minorHAnsi" w:cstheme="minorHAnsi"/>
          <w:sz w:val="22"/>
          <w:szCs w:val="22"/>
        </w:rPr>
        <w:t>) blant annet skriver at:</w:t>
      </w:r>
    </w:p>
    <w:p w:rsidR="00F20E08" w:rsidRDefault="00F20E08" w:rsidP="00F20E08">
      <w:pPr>
        <w:ind w:left="708"/>
        <w:rPr>
          <w:rFonts w:asciiTheme="minorHAnsi" w:hAnsiTheme="minorHAnsi" w:cstheme="minorHAnsi"/>
          <w:sz w:val="22"/>
          <w:szCs w:val="22"/>
        </w:rPr>
      </w:pPr>
    </w:p>
    <w:p w:rsidR="00F20E08" w:rsidRDefault="00F20E08" w:rsidP="00F20E08">
      <w:pPr>
        <w:ind w:left="1416"/>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w:t>
      </w:r>
      <w:r w:rsidRPr="00F20E08">
        <w:rPr>
          <w:rFonts w:asciiTheme="minorHAnsi" w:hAnsiTheme="minorHAnsi" w:cstheme="minorHAnsi"/>
          <w:color w:val="000000"/>
          <w:sz w:val="22"/>
          <w:szCs w:val="22"/>
          <w:shd w:val="clear" w:color="auto" w:fill="FFFFFF"/>
        </w:rPr>
        <w:t>I den integrerte modellen bør det også vurderes om de søknadsbaserte ordningene kan legges ut. Skal ordningene saksbehandles i departementet vil det være Kongen i statsråd som er ankeinstans, noe som er lite hensiktsmessig. Samtidig ønsker sivilsamfunnet å ha mulighet for dialog med</w:t>
      </w:r>
      <w:r>
        <w:rPr>
          <w:rFonts w:ascii="Helvetica Neue" w:hAnsi="Helvetica Neue"/>
          <w:color w:val="000000"/>
          <w:sz w:val="20"/>
          <w:szCs w:val="20"/>
          <w:shd w:val="clear" w:color="auto" w:fill="FFFFFF"/>
        </w:rPr>
        <w:t xml:space="preserve"> </w:t>
      </w:r>
      <w:r w:rsidRPr="00F20E08">
        <w:rPr>
          <w:rFonts w:asciiTheme="minorHAnsi" w:hAnsiTheme="minorHAnsi" w:cstheme="minorHAnsi"/>
          <w:color w:val="000000"/>
          <w:sz w:val="22"/>
          <w:szCs w:val="22"/>
          <w:shd w:val="clear" w:color="auto" w:fill="FFFFFF"/>
        </w:rPr>
        <w:t>departementet og politisk ledelse.</w:t>
      </w:r>
      <w:r>
        <w:rPr>
          <w:rFonts w:asciiTheme="minorHAnsi" w:hAnsiTheme="minorHAnsi" w:cstheme="minorHAnsi"/>
          <w:color w:val="000000"/>
          <w:sz w:val="22"/>
          <w:szCs w:val="22"/>
          <w:shd w:val="clear" w:color="auto" w:fill="FFFFFF"/>
        </w:rPr>
        <w:t>»</w:t>
      </w:r>
    </w:p>
    <w:p w:rsidR="00F20E08" w:rsidRDefault="00F20E08" w:rsidP="00F20E08">
      <w:pPr>
        <w:ind w:left="1416"/>
        <w:rPr>
          <w:rFonts w:asciiTheme="minorHAnsi" w:hAnsiTheme="minorHAnsi" w:cstheme="minorHAnsi"/>
          <w:color w:val="000000"/>
          <w:sz w:val="22"/>
          <w:szCs w:val="22"/>
          <w:shd w:val="clear" w:color="auto" w:fill="FFFFFF"/>
        </w:rPr>
      </w:pPr>
    </w:p>
    <w:p w:rsidR="00965B85" w:rsidRDefault="00BA7257" w:rsidP="00F20E08">
      <w:pPr>
        <w:ind w:left="708"/>
        <w:rPr>
          <w:rFonts w:asciiTheme="minorHAnsi" w:hAnsiTheme="minorHAnsi" w:cstheme="minorHAnsi"/>
          <w:sz w:val="22"/>
          <w:szCs w:val="22"/>
        </w:rPr>
      </w:pPr>
      <w:r w:rsidRPr="00BA7257">
        <w:rPr>
          <w:rFonts w:asciiTheme="minorHAnsi" w:hAnsiTheme="minorHAnsi" w:cstheme="minorHAnsi"/>
          <w:sz w:val="22"/>
          <w:szCs w:val="22"/>
          <w:u w:val="single"/>
        </w:rPr>
        <w:t>Vi mener</w:t>
      </w:r>
      <w:r>
        <w:rPr>
          <w:rFonts w:asciiTheme="minorHAnsi" w:hAnsiTheme="minorHAnsi" w:cstheme="minorHAnsi"/>
          <w:sz w:val="22"/>
          <w:szCs w:val="22"/>
        </w:rPr>
        <w:t xml:space="preserve"> dessuten, e</w:t>
      </w:r>
      <w:r w:rsidR="006F03EE">
        <w:rPr>
          <w:rFonts w:asciiTheme="minorHAnsi" w:hAnsiTheme="minorHAnsi" w:cstheme="minorHAnsi"/>
          <w:sz w:val="22"/>
          <w:szCs w:val="22"/>
        </w:rPr>
        <w:t xml:space="preserve">nten informasjonsstøtten (og andre søknadsbaserte ordninger) </w:t>
      </w:r>
      <w:proofErr w:type="spellStart"/>
      <w:r w:rsidR="006F03EE">
        <w:rPr>
          <w:rFonts w:asciiTheme="minorHAnsi" w:hAnsiTheme="minorHAnsi" w:cstheme="minorHAnsi"/>
          <w:sz w:val="22"/>
          <w:szCs w:val="22"/>
        </w:rPr>
        <w:t>outsoruces</w:t>
      </w:r>
      <w:proofErr w:type="spellEnd"/>
      <w:r w:rsidR="006F03EE">
        <w:rPr>
          <w:rFonts w:asciiTheme="minorHAnsi" w:hAnsiTheme="minorHAnsi" w:cstheme="minorHAnsi"/>
          <w:sz w:val="22"/>
          <w:szCs w:val="22"/>
        </w:rPr>
        <w:t xml:space="preserve"> eller forblir i Norad</w:t>
      </w:r>
      <w:r>
        <w:rPr>
          <w:rFonts w:asciiTheme="minorHAnsi" w:hAnsiTheme="minorHAnsi" w:cstheme="minorHAnsi"/>
          <w:sz w:val="22"/>
          <w:szCs w:val="22"/>
        </w:rPr>
        <w:t xml:space="preserve">, at </w:t>
      </w:r>
      <w:r w:rsidR="00F20E08" w:rsidRPr="00965B85">
        <w:rPr>
          <w:rFonts w:asciiTheme="minorHAnsi" w:hAnsiTheme="minorHAnsi" w:cstheme="minorHAnsi"/>
          <w:sz w:val="22"/>
          <w:szCs w:val="22"/>
        </w:rPr>
        <w:t>det er viktig at forvaltningen av informasjonsstøtten</w:t>
      </w:r>
      <w:r>
        <w:rPr>
          <w:rFonts w:asciiTheme="minorHAnsi" w:hAnsiTheme="minorHAnsi" w:cstheme="minorHAnsi"/>
          <w:sz w:val="22"/>
          <w:szCs w:val="22"/>
        </w:rPr>
        <w:t xml:space="preserve"> har </w:t>
      </w:r>
      <w:proofErr w:type="spellStart"/>
      <w:r w:rsidR="00856A53" w:rsidRPr="00965B85">
        <w:rPr>
          <w:rFonts w:asciiTheme="minorHAnsi" w:hAnsiTheme="minorHAnsi" w:cstheme="minorHAnsi"/>
          <w:sz w:val="22"/>
          <w:szCs w:val="22"/>
        </w:rPr>
        <w:t>har</w:t>
      </w:r>
      <w:proofErr w:type="spellEnd"/>
      <w:r w:rsidR="00856A53" w:rsidRPr="00965B85">
        <w:rPr>
          <w:rFonts w:asciiTheme="minorHAnsi" w:hAnsiTheme="minorHAnsi" w:cstheme="minorHAnsi"/>
          <w:sz w:val="22"/>
          <w:szCs w:val="22"/>
        </w:rPr>
        <w:t xml:space="preserve"> relevant kommunikasjonsfaglig kompetanse, men også kompetanse på sivilsamfunn og utviklingspolitiske temaer og prosesser</w:t>
      </w:r>
      <w:r>
        <w:rPr>
          <w:rFonts w:asciiTheme="minorHAnsi" w:hAnsiTheme="minorHAnsi" w:cstheme="minorHAnsi"/>
          <w:sz w:val="22"/>
          <w:szCs w:val="22"/>
        </w:rPr>
        <w:t>, så vel som nødvendig kapasitet og kontinuitet.</w:t>
      </w:r>
    </w:p>
    <w:p w:rsidR="006F03EE" w:rsidRDefault="006F03EE" w:rsidP="00F20E08">
      <w:pPr>
        <w:ind w:left="708"/>
        <w:rPr>
          <w:rFonts w:asciiTheme="minorHAnsi" w:hAnsiTheme="minorHAnsi" w:cstheme="minorHAnsi"/>
          <w:sz w:val="22"/>
          <w:szCs w:val="22"/>
        </w:rPr>
      </w:pPr>
    </w:p>
    <w:p w:rsidR="00BA7257" w:rsidRDefault="00BA7257" w:rsidP="00F20E08">
      <w:pPr>
        <w:ind w:left="708"/>
        <w:rPr>
          <w:rFonts w:asciiTheme="minorHAnsi" w:hAnsiTheme="minorHAnsi" w:cstheme="minorHAnsi"/>
          <w:sz w:val="22"/>
          <w:szCs w:val="22"/>
        </w:rPr>
      </w:pPr>
      <w:r w:rsidRPr="00BA7257">
        <w:rPr>
          <w:rFonts w:asciiTheme="minorHAnsi" w:hAnsiTheme="minorHAnsi" w:cstheme="minorHAnsi"/>
          <w:sz w:val="22"/>
          <w:szCs w:val="22"/>
          <w:u w:val="single"/>
        </w:rPr>
        <w:t>Vi mener</w:t>
      </w:r>
      <w:r>
        <w:rPr>
          <w:rFonts w:asciiTheme="minorHAnsi" w:hAnsiTheme="minorHAnsi" w:cstheme="minorHAnsi"/>
          <w:sz w:val="22"/>
          <w:szCs w:val="22"/>
        </w:rPr>
        <w:t xml:space="preserve"> at:</w:t>
      </w:r>
    </w:p>
    <w:p w:rsidR="00BA7257" w:rsidRDefault="00BA7257" w:rsidP="00F20E08">
      <w:pPr>
        <w:ind w:left="708"/>
        <w:rPr>
          <w:rFonts w:asciiTheme="minorHAnsi" w:hAnsiTheme="minorHAnsi" w:cstheme="minorHAnsi"/>
          <w:sz w:val="22"/>
          <w:szCs w:val="22"/>
        </w:rPr>
      </w:pPr>
    </w:p>
    <w:p w:rsidR="00BA7257" w:rsidRDefault="009E5918" w:rsidP="00BA7257">
      <w:pPr>
        <w:pStyle w:val="Listeavsnitt"/>
        <w:numPr>
          <w:ilvl w:val="0"/>
          <w:numId w:val="9"/>
        </w:numPr>
        <w:rPr>
          <w:rFonts w:asciiTheme="minorHAnsi" w:hAnsiTheme="minorHAnsi" w:cstheme="minorHAnsi"/>
          <w:sz w:val="22"/>
          <w:szCs w:val="22"/>
        </w:rPr>
      </w:pPr>
      <w:r>
        <w:rPr>
          <w:rFonts w:asciiTheme="minorHAnsi" w:hAnsiTheme="minorHAnsi" w:cstheme="minorHAnsi"/>
          <w:sz w:val="22"/>
          <w:szCs w:val="22"/>
        </w:rPr>
        <w:t>D</w:t>
      </w:r>
      <w:r w:rsidR="006F03EE" w:rsidRPr="00BA7257">
        <w:rPr>
          <w:rFonts w:asciiTheme="minorHAnsi" w:hAnsiTheme="minorHAnsi" w:cstheme="minorHAnsi"/>
          <w:sz w:val="22"/>
          <w:szCs w:val="22"/>
        </w:rPr>
        <w:t>ersom</w:t>
      </w:r>
      <w:r w:rsidR="00BA7257" w:rsidRPr="00BA7257">
        <w:rPr>
          <w:rFonts w:asciiTheme="minorHAnsi" w:hAnsiTheme="minorHAnsi" w:cstheme="minorHAnsi"/>
          <w:sz w:val="22"/>
          <w:szCs w:val="22"/>
        </w:rPr>
        <w:t xml:space="preserve"> forvaltningen forblir i</w:t>
      </w:r>
      <w:r w:rsidR="006F03EE" w:rsidRPr="00BA7257">
        <w:rPr>
          <w:rFonts w:asciiTheme="minorHAnsi" w:hAnsiTheme="minorHAnsi" w:cstheme="minorHAnsi"/>
          <w:sz w:val="22"/>
          <w:szCs w:val="22"/>
        </w:rPr>
        <w:t xml:space="preserve"> Norad </w:t>
      </w:r>
      <w:r w:rsidR="00BA7257" w:rsidRPr="00BA7257">
        <w:rPr>
          <w:rFonts w:asciiTheme="minorHAnsi" w:hAnsiTheme="minorHAnsi" w:cstheme="minorHAnsi"/>
          <w:sz w:val="22"/>
          <w:szCs w:val="22"/>
        </w:rPr>
        <w:t>(som forvaltningsorgan</w:t>
      </w:r>
      <w:r w:rsidR="00BA7257">
        <w:rPr>
          <w:rFonts w:asciiTheme="minorHAnsi" w:hAnsiTheme="minorHAnsi" w:cstheme="minorHAnsi"/>
          <w:sz w:val="22"/>
          <w:szCs w:val="22"/>
        </w:rPr>
        <w:t xml:space="preserve"> for bistanden)</w:t>
      </w:r>
      <w:r w:rsidR="00BA7257" w:rsidRPr="00BA7257">
        <w:rPr>
          <w:rFonts w:asciiTheme="minorHAnsi" w:hAnsiTheme="minorHAnsi" w:cstheme="minorHAnsi"/>
          <w:sz w:val="22"/>
          <w:szCs w:val="22"/>
        </w:rPr>
        <w:t xml:space="preserve"> så bør infostøtten</w:t>
      </w:r>
      <w:r w:rsidR="00BA7257">
        <w:rPr>
          <w:rFonts w:asciiTheme="minorHAnsi" w:hAnsiTheme="minorHAnsi" w:cstheme="minorHAnsi"/>
          <w:sz w:val="22"/>
          <w:szCs w:val="22"/>
        </w:rPr>
        <w:t>, i tråd med anbefalingen fra evalueringen, forvaltes på en annen måte enn støtteordninger knyttet til bistand i utviklingsland. Det kan for eksempel tenkes etablert en egen avdeling/seksjon med ansvar for støtte til virksomhet i Norge</w:t>
      </w:r>
      <w:r>
        <w:rPr>
          <w:rFonts w:asciiTheme="minorHAnsi" w:hAnsiTheme="minorHAnsi" w:cstheme="minorHAnsi"/>
          <w:sz w:val="22"/>
          <w:szCs w:val="22"/>
        </w:rPr>
        <w:t xml:space="preserve"> (infostøtten, infodele</w:t>
      </w:r>
      <w:r w:rsidR="003511EB">
        <w:rPr>
          <w:rFonts w:asciiTheme="minorHAnsi" w:hAnsiTheme="minorHAnsi" w:cstheme="minorHAnsi"/>
          <w:sz w:val="22"/>
          <w:szCs w:val="22"/>
        </w:rPr>
        <w:t>n</w:t>
      </w:r>
      <w:r>
        <w:rPr>
          <w:rFonts w:asciiTheme="minorHAnsi" w:hAnsiTheme="minorHAnsi" w:cstheme="minorHAnsi"/>
          <w:sz w:val="22"/>
          <w:szCs w:val="22"/>
        </w:rPr>
        <w:t xml:space="preserve"> av demokratistøtten og eventuelle andre støtteordninger, som støtte til opplysningsarbeid for fred (som har ligget i UD) og eventuelle journaliststipendordninger. </w:t>
      </w:r>
    </w:p>
    <w:p w:rsidR="00BA7257" w:rsidRDefault="009E5918" w:rsidP="00BA7257">
      <w:pPr>
        <w:pStyle w:val="Listeavsnitt"/>
        <w:numPr>
          <w:ilvl w:val="0"/>
          <w:numId w:val="9"/>
        </w:numPr>
        <w:rPr>
          <w:rFonts w:asciiTheme="minorHAnsi" w:hAnsiTheme="minorHAnsi" w:cstheme="minorHAnsi"/>
          <w:sz w:val="22"/>
          <w:szCs w:val="22"/>
        </w:rPr>
      </w:pPr>
      <w:r>
        <w:rPr>
          <w:rFonts w:asciiTheme="minorHAnsi" w:hAnsiTheme="minorHAnsi" w:cstheme="minorHAnsi"/>
          <w:sz w:val="22"/>
          <w:szCs w:val="22"/>
        </w:rPr>
        <w:t xml:space="preserve">Dersom Norad integreres i UD bør det etableres en forvaltning av informasjonsstøtten utenfor UD, for å ivareta hensynet til politisk uavhengighet. Vi tror ikke kravene til forvaltning vil kunne ivaretas av rent kommersielle aktører, men ser for oss en løsning der avtale om forvaltning enten inngås med en eksisterende relevant institusjon eller </w:t>
      </w:r>
      <w:r w:rsidR="00594C6D">
        <w:rPr>
          <w:rFonts w:asciiTheme="minorHAnsi" w:hAnsiTheme="minorHAnsi" w:cstheme="minorHAnsi"/>
          <w:sz w:val="22"/>
          <w:szCs w:val="22"/>
        </w:rPr>
        <w:t>med en nyopprettet struktur.</w:t>
      </w:r>
    </w:p>
    <w:p w:rsidR="007A0C42" w:rsidRPr="00636518" w:rsidRDefault="007A0C42" w:rsidP="00594C6D">
      <w:pPr>
        <w:ind w:left="708"/>
        <w:rPr>
          <w:rFonts w:asciiTheme="minorHAnsi" w:hAnsiTheme="minorHAnsi" w:cstheme="minorHAnsi"/>
          <w:sz w:val="22"/>
          <w:szCs w:val="22"/>
        </w:rPr>
      </w:pPr>
    </w:p>
    <w:sectPr w:rsidR="007A0C42" w:rsidRPr="00636518" w:rsidSect="008B55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5F57"/>
    <w:multiLevelType w:val="hybridMultilevel"/>
    <w:tmpl w:val="B15C8BFC"/>
    <w:lvl w:ilvl="0" w:tplc="2356105A">
      <w:start w:val="1"/>
      <w:numFmt w:val="decimal"/>
      <w:lvlText w:val="%1)"/>
      <w:lvlJc w:val="left"/>
      <w:pPr>
        <w:ind w:left="1080" w:hanging="360"/>
      </w:pPr>
      <w:rPr>
        <w:rFonts w:hint="default"/>
      </w:rPr>
    </w:lvl>
    <w:lvl w:ilvl="1" w:tplc="04140019" w:tentative="1">
      <w:start w:val="1"/>
      <w:numFmt w:val="lowerLetter"/>
      <w:lvlText w:val="%2."/>
      <w:lvlJc w:val="left"/>
      <w:pPr>
        <w:ind w:left="1452" w:hanging="360"/>
      </w:pPr>
    </w:lvl>
    <w:lvl w:ilvl="2" w:tplc="0414001B" w:tentative="1">
      <w:start w:val="1"/>
      <w:numFmt w:val="lowerRoman"/>
      <w:lvlText w:val="%3."/>
      <w:lvlJc w:val="right"/>
      <w:pPr>
        <w:ind w:left="2172" w:hanging="180"/>
      </w:pPr>
    </w:lvl>
    <w:lvl w:ilvl="3" w:tplc="0414000F" w:tentative="1">
      <w:start w:val="1"/>
      <w:numFmt w:val="decimal"/>
      <w:lvlText w:val="%4."/>
      <w:lvlJc w:val="left"/>
      <w:pPr>
        <w:ind w:left="2892" w:hanging="360"/>
      </w:pPr>
    </w:lvl>
    <w:lvl w:ilvl="4" w:tplc="04140019" w:tentative="1">
      <w:start w:val="1"/>
      <w:numFmt w:val="lowerLetter"/>
      <w:lvlText w:val="%5."/>
      <w:lvlJc w:val="left"/>
      <w:pPr>
        <w:ind w:left="3612" w:hanging="360"/>
      </w:pPr>
    </w:lvl>
    <w:lvl w:ilvl="5" w:tplc="0414001B" w:tentative="1">
      <w:start w:val="1"/>
      <w:numFmt w:val="lowerRoman"/>
      <w:lvlText w:val="%6."/>
      <w:lvlJc w:val="right"/>
      <w:pPr>
        <w:ind w:left="4332" w:hanging="180"/>
      </w:pPr>
    </w:lvl>
    <w:lvl w:ilvl="6" w:tplc="0414000F" w:tentative="1">
      <w:start w:val="1"/>
      <w:numFmt w:val="decimal"/>
      <w:lvlText w:val="%7."/>
      <w:lvlJc w:val="left"/>
      <w:pPr>
        <w:ind w:left="5052" w:hanging="360"/>
      </w:pPr>
    </w:lvl>
    <w:lvl w:ilvl="7" w:tplc="04140019" w:tentative="1">
      <w:start w:val="1"/>
      <w:numFmt w:val="lowerLetter"/>
      <w:lvlText w:val="%8."/>
      <w:lvlJc w:val="left"/>
      <w:pPr>
        <w:ind w:left="5772" w:hanging="360"/>
      </w:pPr>
    </w:lvl>
    <w:lvl w:ilvl="8" w:tplc="0414001B" w:tentative="1">
      <w:start w:val="1"/>
      <w:numFmt w:val="lowerRoman"/>
      <w:lvlText w:val="%9."/>
      <w:lvlJc w:val="right"/>
      <w:pPr>
        <w:ind w:left="6492" w:hanging="180"/>
      </w:pPr>
    </w:lvl>
  </w:abstractNum>
  <w:abstractNum w:abstractNumId="1" w15:restartNumberingAfterBreak="0">
    <w:nsid w:val="11D71738"/>
    <w:multiLevelType w:val="hybridMultilevel"/>
    <w:tmpl w:val="C3D09F64"/>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3234871"/>
    <w:multiLevelType w:val="hybridMultilevel"/>
    <w:tmpl w:val="AD7874DC"/>
    <w:lvl w:ilvl="0" w:tplc="0409000D">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2D3B74DA"/>
    <w:multiLevelType w:val="hybridMultilevel"/>
    <w:tmpl w:val="63B8FE90"/>
    <w:lvl w:ilvl="0" w:tplc="9378E186">
      <w:start w:val="1"/>
      <w:numFmt w:val="decimal"/>
      <w:lvlText w:val="%1."/>
      <w:lvlJc w:val="left"/>
      <w:pPr>
        <w:ind w:left="1068" w:hanging="360"/>
      </w:pPr>
      <w:rPr>
        <w:rFonts w:hint="default"/>
        <w:u w:val="single"/>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45965BDF"/>
    <w:multiLevelType w:val="hybridMultilevel"/>
    <w:tmpl w:val="95D6C132"/>
    <w:lvl w:ilvl="0" w:tplc="2356105A">
      <w:start w:val="1"/>
      <w:numFmt w:val="decimal"/>
      <w:lvlText w:val="%1)"/>
      <w:lvlJc w:val="left"/>
      <w:pPr>
        <w:ind w:left="1068"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14E6D89"/>
    <w:multiLevelType w:val="hybridMultilevel"/>
    <w:tmpl w:val="D7D813CA"/>
    <w:lvl w:ilvl="0" w:tplc="2356105A">
      <w:start w:val="1"/>
      <w:numFmt w:val="decimal"/>
      <w:lvlText w:val="%1)"/>
      <w:lvlJc w:val="left"/>
      <w:pPr>
        <w:ind w:left="1068"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BB154E0"/>
    <w:multiLevelType w:val="hybridMultilevel"/>
    <w:tmpl w:val="5802CCA2"/>
    <w:lvl w:ilvl="0" w:tplc="E7262F7C">
      <w:start w:val="1"/>
      <w:numFmt w:val="bullet"/>
      <w:lvlText w:val=""/>
      <w:lvlJc w:val="left"/>
      <w:pPr>
        <w:ind w:left="1068" w:hanging="360"/>
      </w:pPr>
      <w:rPr>
        <w:rFonts w:ascii="Symbol" w:hAnsi="Symbol" w:hint="default"/>
        <w:u w:val="none"/>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5F307385"/>
    <w:multiLevelType w:val="hybridMultilevel"/>
    <w:tmpl w:val="18DAD8F6"/>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8" w15:restartNumberingAfterBreak="0">
    <w:nsid w:val="71022F77"/>
    <w:multiLevelType w:val="hybridMultilevel"/>
    <w:tmpl w:val="CCA6920E"/>
    <w:lvl w:ilvl="0" w:tplc="2356105A">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7ECE66AF"/>
    <w:multiLevelType w:val="multilevel"/>
    <w:tmpl w:val="06D20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7"/>
  </w:num>
  <w:num w:numId="4">
    <w:abstractNumId w:val="8"/>
  </w:num>
  <w:num w:numId="5">
    <w:abstractNumId w:val="4"/>
  </w:num>
  <w:num w:numId="6">
    <w:abstractNumId w:val="5"/>
  </w:num>
  <w:num w:numId="7">
    <w:abstractNumId w:val="0"/>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13"/>
    <w:rsid w:val="00001B69"/>
    <w:rsid w:val="00012DF3"/>
    <w:rsid w:val="00066718"/>
    <w:rsid w:val="001037CA"/>
    <w:rsid w:val="00104465"/>
    <w:rsid w:val="00133470"/>
    <w:rsid w:val="001550DA"/>
    <w:rsid w:val="001659B3"/>
    <w:rsid w:val="001E09DB"/>
    <w:rsid w:val="001F7F6A"/>
    <w:rsid w:val="0021644E"/>
    <w:rsid w:val="00243B84"/>
    <w:rsid w:val="00243D6E"/>
    <w:rsid w:val="00251C13"/>
    <w:rsid w:val="002621CA"/>
    <w:rsid w:val="00287FE5"/>
    <w:rsid w:val="002A2F90"/>
    <w:rsid w:val="002C5001"/>
    <w:rsid w:val="002E76DE"/>
    <w:rsid w:val="00325AA2"/>
    <w:rsid w:val="003511EB"/>
    <w:rsid w:val="004004A5"/>
    <w:rsid w:val="0040735C"/>
    <w:rsid w:val="00425DC3"/>
    <w:rsid w:val="004433D6"/>
    <w:rsid w:val="00463147"/>
    <w:rsid w:val="00463C3F"/>
    <w:rsid w:val="004772E3"/>
    <w:rsid w:val="004A61AF"/>
    <w:rsid w:val="004F478E"/>
    <w:rsid w:val="00541A26"/>
    <w:rsid w:val="00552E01"/>
    <w:rsid w:val="00553294"/>
    <w:rsid w:val="00553A78"/>
    <w:rsid w:val="005906CC"/>
    <w:rsid w:val="00594C6D"/>
    <w:rsid w:val="005C60F6"/>
    <w:rsid w:val="005E1B9A"/>
    <w:rsid w:val="00622798"/>
    <w:rsid w:val="00636518"/>
    <w:rsid w:val="00644FAE"/>
    <w:rsid w:val="0066657C"/>
    <w:rsid w:val="0067101F"/>
    <w:rsid w:val="006F03EE"/>
    <w:rsid w:val="00706A11"/>
    <w:rsid w:val="00712D5F"/>
    <w:rsid w:val="00767439"/>
    <w:rsid w:val="007A0C42"/>
    <w:rsid w:val="007A6ECF"/>
    <w:rsid w:val="007E2A0C"/>
    <w:rsid w:val="00806A28"/>
    <w:rsid w:val="00814E26"/>
    <w:rsid w:val="00816623"/>
    <w:rsid w:val="00856A53"/>
    <w:rsid w:val="008B554B"/>
    <w:rsid w:val="008B70D4"/>
    <w:rsid w:val="008C3D42"/>
    <w:rsid w:val="008E6F4E"/>
    <w:rsid w:val="009151CF"/>
    <w:rsid w:val="00930F41"/>
    <w:rsid w:val="009464E2"/>
    <w:rsid w:val="00965B85"/>
    <w:rsid w:val="009B32DF"/>
    <w:rsid w:val="009C1220"/>
    <w:rsid w:val="009E5918"/>
    <w:rsid w:val="009F3F53"/>
    <w:rsid w:val="00A17286"/>
    <w:rsid w:val="00A871DF"/>
    <w:rsid w:val="00AB2062"/>
    <w:rsid w:val="00AB2AE3"/>
    <w:rsid w:val="00AE384C"/>
    <w:rsid w:val="00AF7C9F"/>
    <w:rsid w:val="00B44085"/>
    <w:rsid w:val="00B605AE"/>
    <w:rsid w:val="00B7277C"/>
    <w:rsid w:val="00B85CDC"/>
    <w:rsid w:val="00BA7257"/>
    <w:rsid w:val="00BF6238"/>
    <w:rsid w:val="00C003FC"/>
    <w:rsid w:val="00C104BD"/>
    <w:rsid w:val="00E05208"/>
    <w:rsid w:val="00E61D95"/>
    <w:rsid w:val="00E72291"/>
    <w:rsid w:val="00E969FA"/>
    <w:rsid w:val="00EB0048"/>
    <w:rsid w:val="00ED2D64"/>
    <w:rsid w:val="00EF50E7"/>
    <w:rsid w:val="00F20E08"/>
    <w:rsid w:val="00F80A3C"/>
    <w:rsid w:val="00F9136A"/>
    <w:rsid w:val="00F974A2"/>
    <w:rsid w:val="00FE35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88FE9-4531-2342-8636-D0A03414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E08"/>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51C13"/>
    <w:pPr>
      <w:ind w:left="720"/>
      <w:contextualSpacing/>
    </w:pPr>
    <w:rPr>
      <w:rFonts w:eastAsiaTheme="minorHAnsi"/>
    </w:rPr>
  </w:style>
  <w:style w:type="table" w:styleId="Tabellrutenett">
    <w:name w:val="Table Grid"/>
    <w:basedOn w:val="Vanligtabell"/>
    <w:uiPriority w:val="39"/>
    <w:rsid w:val="00767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3470"/>
    <w:pPr>
      <w:spacing w:before="100" w:beforeAutospacing="1" w:after="100" w:afterAutospacing="1"/>
    </w:pPr>
  </w:style>
  <w:style w:type="paragraph" w:customStyle="1" w:styleId="ox-b1296962cf-msonormal">
    <w:name w:val="ox-b1296962cf-msonormal"/>
    <w:basedOn w:val="Normal"/>
    <w:rsid w:val="00541A26"/>
    <w:pPr>
      <w:spacing w:before="100" w:beforeAutospacing="1" w:after="100" w:afterAutospacing="1"/>
    </w:pPr>
  </w:style>
  <w:style w:type="paragraph" w:customStyle="1" w:styleId="ox-b1296962cf-msolistparagraph">
    <w:name w:val="ox-b1296962cf-msolistparagraph"/>
    <w:basedOn w:val="Normal"/>
    <w:rsid w:val="00541A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69264">
      <w:bodyDiv w:val="1"/>
      <w:marLeft w:val="0"/>
      <w:marRight w:val="0"/>
      <w:marTop w:val="0"/>
      <w:marBottom w:val="0"/>
      <w:divBdr>
        <w:top w:val="none" w:sz="0" w:space="0" w:color="auto"/>
        <w:left w:val="none" w:sz="0" w:space="0" w:color="auto"/>
        <w:bottom w:val="none" w:sz="0" w:space="0" w:color="auto"/>
        <w:right w:val="none" w:sz="0" w:space="0" w:color="auto"/>
      </w:divBdr>
      <w:divsChild>
        <w:div w:id="1906793578">
          <w:marLeft w:val="0"/>
          <w:marRight w:val="0"/>
          <w:marTop w:val="0"/>
          <w:marBottom w:val="0"/>
          <w:divBdr>
            <w:top w:val="none" w:sz="0" w:space="0" w:color="auto"/>
            <w:left w:val="none" w:sz="0" w:space="0" w:color="auto"/>
            <w:bottom w:val="none" w:sz="0" w:space="0" w:color="auto"/>
            <w:right w:val="none" w:sz="0" w:space="0" w:color="auto"/>
          </w:divBdr>
        </w:div>
        <w:div w:id="1745224281">
          <w:marLeft w:val="0"/>
          <w:marRight w:val="0"/>
          <w:marTop w:val="0"/>
          <w:marBottom w:val="0"/>
          <w:divBdr>
            <w:top w:val="none" w:sz="0" w:space="0" w:color="auto"/>
            <w:left w:val="none" w:sz="0" w:space="0" w:color="auto"/>
            <w:bottom w:val="none" w:sz="0" w:space="0" w:color="auto"/>
            <w:right w:val="none" w:sz="0" w:space="0" w:color="auto"/>
          </w:divBdr>
        </w:div>
        <w:div w:id="315499549">
          <w:marLeft w:val="0"/>
          <w:marRight w:val="0"/>
          <w:marTop w:val="0"/>
          <w:marBottom w:val="0"/>
          <w:divBdr>
            <w:top w:val="none" w:sz="0" w:space="0" w:color="auto"/>
            <w:left w:val="none" w:sz="0" w:space="0" w:color="auto"/>
            <w:bottom w:val="none" w:sz="0" w:space="0" w:color="auto"/>
            <w:right w:val="none" w:sz="0" w:space="0" w:color="auto"/>
          </w:divBdr>
        </w:div>
        <w:div w:id="47151651">
          <w:marLeft w:val="0"/>
          <w:marRight w:val="0"/>
          <w:marTop w:val="0"/>
          <w:marBottom w:val="0"/>
          <w:divBdr>
            <w:top w:val="none" w:sz="0" w:space="0" w:color="auto"/>
            <w:left w:val="none" w:sz="0" w:space="0" w:color="auto"/>
            <w:bottom w:val="none" w:sz="0" w:space="0" w:color="auto"/>
            <w:right w:val="none" w:sz="0" w:space="0" w:color="auto"/>
          </w:divBdr>
        </w:div>
        <w:div w:id="860052329">
          <w:marLeft w:val="0"/>
          <w:marRight w:val="0"/>
          <w:marTop w:val="0"/>
          <w:marBottom w:val="0"/>
          <w:divBdr>
            <w:top w:val="none" w:sz="0" w:space="0" w:color="auto"/>
            <w:left w:val="none" w:sz="0" w:space="0" w:color="auto"/>
            <w:bottom w:val="none" w:sz="0" w:space="0" w:color="auto"/>
            <w:right w:val="none" w:sz="0" w:space="0" w:color="auto"/>
          </w:divBdr>
        </w:div>
        <w:div w:id="1893081838">
          <w:marLeft w:val="0"/>
          <w:marRight w:val="0"/>
          <w:marTop w:val="0"/>
          <w:marBottom w:val="0"/>
          <w:divBdr>
            <w:top w:val="none" w:sz="0" w:space="0" w:color="auto"/>
            <w:left w:val="none" w:sz="0" w:space="0" w:color="auto"/>
            <w:bottom w:val="none" w:sz="0" w:space="0" w:color="auto"/>
            <w:right w:val="none" w:sz="0" w:space="0" w:color="auto"/>
          </w:divBdr>
        </w:div>
      </w:divsChild>
    </w:div>
    <w:div w:id="786854730">
      <w:bodyDiv w:val="1"/>
      <w:marLeft w:val="0"/>
      <w:marRight w:val="0"/>
      <w:marTop w:val="0"/>
      <w:marBottom w:val="0"/>
      <w:divBdr>
        <w:top w:val="none" w:sz="0" w:space="0" w:color="auto"/>
        <w:left w:val="none" w:sz="0" w:space="0" w:color="auto"/>
        <w:bottom w:val="none" w:sz="0" w:space="0" w:color="auto"/>
        <w:right w:val="none" w:sz="0" w:space="0" w:color="auto"/>
      </w:divBdr>
      <w:divsChild>
        <w:div w:id="1084106319">
          <w:marLeft w:val="0"/>
          <w:marRight w:val="0"/>
          <w:marTop w:val="0"/>
          <w:marBottom w:val="0"/>
          <w:divBdr>
            <w:top w:val="none" w:sz="0" w:space="0" w:color="auto"/>
            <w:left w:val="none" w:sz="0" w:space="0" w:color="auto"/>
            <w:bottom w:val="none" w:sz="0" w:space="0" w:color="auto"/>
            <w:right w:val="none" w:sz="0" w:space="0" w:color="auto"/>
          </w:divBdr>
          <w:divsChild>
            <w:div w:id="577635440">
              <w:marLeft w:val="0"/>
              <w:marRight w:val="0"/>
              <w:marTop w:val="0"/>
              <w:marBottom w:val="0"/>
              <w:divBdr>
                <w:top w:val="none" w:sz="0" w:space="0" w:color="auto"/>
                <w:left w:val="none" w:sz="0" w:space="0" w:color="auto"/>
                <w:bottom w:val="none" w:sz="0" w:space="0" w:color="auto"/>
                <w:right w:val="none" w:sz="0" w:space="0" w:color="auto"/>
              </w:divBdr>
              <w:divsChild>
                <w:div w:id="10617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1229">
      <w:bodyDiv w:val="1"/>
      <w:marLeft w:val="0"/>
      <w:marRight w:val="0"/>
      <w:marTop w:val="0"/>
      <w:marBottom w:val="0"/>
      <w:divBdr>
        <w:top w:val="none" w:sz="0" w:space="0" w:color="auto"/>
        <w:left w:val="none" w:sz="0" w:space="0" w:color="auto"/>
        <w:bottom w:val="none" w:sz="0" w:space="0" w:color="auto"/>
        <w:right w:val="none" w:sz="0" w:space="0" w:color="auto"/>
      </w:divBdr>
      <w:divsChild>
        <w:div w:id="902527514">
          <w:marLeft w:val="0"/>
          <w:marRight w:val="0"/>
          <w:marTop w:val="0"/>
          <w:marBottom w:val="0"/>
          <w:divBdr>
            <w:top w:val="none" w:sz="0" w:space="0" w:color="auto"/>
            <w:left w:val="none" w:sz="0" w:space="0" w:color="auto"/>
            <w:bottom w:val="none" w:sz="0" w:space="0" w:color="auto"/>
            <w:right w:val="none" w:sz="0" w:space="0" w:color="auto"/>
          </w:divBdr>
        </w:div>
        <w:div w:id="1849557896">
          <w:marLeft w:val="0"/>
          <w:marRight w:val="0"/>
          <w:marTop w:val="0"/>
          <w:marBottom w:val="0"/>
          <w:divBdr>
            <w:top w:val="none" w:sz="0" w:space="0" w:color="auto"/>
            <w:left w:val="none" w:sz="0" w:space="0" w:color="auto"/>
            <w:bottom w:val="none" w:sz="0" w:space="0" w:color="auto"/>
            <w:right w:val="none" w:sz="0" w:space="0" w:color="auto"/>
          </w:divBdr>
        </w:div>
        <w:div w:id="50227967">
          <w:marLeft w:val="0"/>
          <w:marRight w:val="0"/>
          <w:marTop w:val="0"/>
          <w:marBottom w:val="0"/>
          <w:divBdr>
            <w:top w:val="none" w:sz="0" w:space="0" w:color="auto"/>
            <w:left w:val="none" w:sz="0" w:space="0" w:color="auto"/>
            <w:bottom w:val="none" w:sz="0" w:space="0" w:color="auto"/>
            <w:right w:val="none" w:sz="0" w:space="0" w:color="auto"/>
          </w:divBdr>
        </w:div>
        <w:div w:id="1357653067">
          <w:marLeft w:val="0"/>
          <w:marRight w:val="0"/>
          <w:marTop w:val="0"/>
          <w:marBottom w:val="0"/>
          <w:divBdr>
            <w:top w:val="none" w:sz="0" w:space="0" w:color="auto"/>
            <w:left w:val="none" w:sz="0" w:space="0" w:color="auto"/>
            <w:bottom w:val="none" w:sz="0" w:space="0" w:color="auto"/>
            <w:right w:val="none" w:sz="0" w:space="0" w:color="auto"/>
          </w:divBdr>
        </w:div>
        <w:div w:id="1636597386">
          <w:marLeft w:val="0"/>
          <w:marRight w:val="0"/>
          <w:marTop w:val="0"/>
          <w:marBottom w:val="0"/>
          <w:divBdr>
            <w:top w:val="none" w:sz="0" w:space="0" w:color="auto"/>
            <w:left w:val="none" w:sz="0" w:space="0" w:color="auto"/>
            <w:bottom w:val="none" w:sz="0" w:space="0" w:color="auto"/>
            <w:right w:val="none" w:sz="0" w:space="0" w:color="auto"/>
          </w:divBdr>
        </w:div>
        <w:div w:id="714236935">
          <w:marLeft w:val="0"/>
          <w:marRight w:val="0"/>
          <w:marTop w:val="0"/>
          <w:marBottom w:val="0"/>
          <w:divBdr>
            <w:top w:val="none" w:sz="0" w:space="0" w:color="auto"/>
            <w:left w:val="none" w:sz="0" w:space="0" w:color="auto"/>
            <w:bottom w:val="none" w:sz="0" w:space="0" w:color="auto"/>
            <w:right w:val="none" w:sz="0" w:space="0" w:color="auto"/>
          </w:divBdr>
        </w:div>
        <w:div w:id="1962758397">
          <w:marLeft w:val="0"/>
          <w:marRight w:val="0"/>
          <w:marTop w:val="0"/>
          <w:marBottom w:val="0"/>
          <w:divBdr>
            <w:top w:val="none" w:sz="0" w:space="0" w:color="auto"/>
            <w:left w:val="none" w:sz="0" w:space="0" w:color="auto"/>
            <w:bottom w:val="none" w:sz="0" w:space="0" w:color="auto"/>
            <w:right w:val="none" w:sz="0" w:space="0" w:color="auto"/>
          </w:divBdr>
        </w:div>
        <w:div w:id="412823769">
          <w:marLeft w:val="0"/>
          <w:marRight w:val="0"/>
          <w:marTop w:val="0"/>
          <w:marBottom w:val="0"/>
          <w:divBdr>
            <w:top w:val="none" w:sz="0" w:space="0" w:color="auto"/>
            <w:left w:val="none" w:sz="0" w:space="0" w:color="auto"/>
            <w:bottom w:val="none" w:sz="0" w:space="0" w:color="auto"/>
            <w:right w:val="none" w:sz="0" w:space="0" w:color="auto"/>
          </w:divBdr>
        </w:div>
        <w:div w:id="210196314">
          <w:marLeft w:val="0"/>
          <w:marRight w:val="0"/>
          <w:marTop w:val="0"/>
          <w:marBottom w:val="0"/>
          <w:divBdr>
            <w:top w:val="none" w:sz="0" w:space="0" w:color="auto"/>
            <w:left w:val="none" w:sz="0" w:space="0" w:color="auto"/>
            <w:bottom w:val="none" w:sz="0" w:space="0" w:color="auto"/>
            <w:right w:val="none" w:sz="0" w:space="0" w:color="auto"/>
          </w:divBdr>
        </w:div>
        <w:div w:id="1215964895">
          <w:marLeft w:val="0"/>
          <w:marRight w:val="0"/>
          <w:marTop w:val="0"/>
          <w:marBottom w:val="0"/>
          <w:divBdr>
            <w:top w:val="none" w:sz="0" w:space="0" w:color="auto"/>
            <w:left w:val="none" w:sz="0" w:space="0" w:color="auto"/>
            <w:bottom w:val="none" w:sz="0" w:space="0" w:color="auto"/>
            <w:right w:val="none" w:sz="0" w:space="0" w:color="auto"/>
          </w:divBdr>
        </w:div>
        <w:div w:id="1032997676">
          <w:marLeft w:val="0"/>
          <w:marRight w:val="0"/>
          <w:marTop w:val="0"/>
          <w:marBottom w:val="0"/>
          <w:divBdr>
            <w:top w:val="none" w:sz="0" w:space="0" w:color="auto"/>
            <w:left w:val="none" w:sz="0" w:space="0" w:color="auto"/>
            <w:bottom w:val="none" w:sz="0" w:space="0" w:color="auto"/>
            <w:right w:val="none" w:sz="0" w:space="0" w:color="auto"/>
          </w:divBdr>
        </w:div>
        <w:div w:id="1707563576">
          <w:marLeft w:val="0"/>
          <w:marRight w:val="0"/>
          <w:marTop w:val="0"/>
          <w:marBottom w:val="0"/>
          <w:divBdr>
            <w:top w:val="none" w:sz="0" w:space="0" w:color="auto"/>
            <w:left w:val="none" w:sz="0" w:space="0" w:color="auto"/>
            <w:bottom w:val="none" w:sz="0" w:space="0" w:color="auto"/>
            <w:right w:val="none" w:sz="0" w:space="0" w:color="auto"/>
          </w:divBdr>
        </w:div>
      </w:divsChild>
    </w:div>
    <w:div w:id="1074429715">
      <w:bodyDiv w:val="1"/>
      <w:marLeft w:val="0"/>
      <w:marRight w:val="0"/>
      <w:marTop w:val="0"/>
      <w:marBottom w:val="0"/>
      <w:divBdr>
        <w:top w:val="none" w:sz="0" w:space="0" w:color="auto"/>
        <w:left w:val="none" w:sz="0" w:space="0" w:color="auto"/>
        <w:bottom w:val="none" w:sz="0" w:space="0" w:color="auto"/>
        <w:right w:val="none" w:sz="0" w:space="0" w:color="auto"/>
      </w:divBdr>
    </w:div>
    <w:div w:id="1338507970">
      <w:bodyDiv w:val="1"/>
      <w:marLeft w:val="0"/>
      <w:marRight w:val="0"/>
      <w:marTop w:val="0"/>
      <w:marBottom w:val="0"/>
      <w:divBdr>
        <w:top w:val="none" w:sz="0" w:space="0" w:color="auto"/>
        <w:left w:val="none" w:sz="0" w:space="0" w:color="auto"/>
        <w:bottom w:val="none" w:sz="0" w:space="0" w:color="auto"/>
        <w:right w:val="none" w:sz="0" w:space="0" w:color="auto"/>
      </w:divBdr>
    </w:div>
    <w:div w:id="1991211306">
      <w:bodyDiv w:val="1"/>
      <w:marLeft w:val="0"/>
      <w:marRight w:val="0"/>
      <w:marTop w:val="0"/>
      <w:marBottom w:val="0"/>
      <w:divBdr>
        <w:top w:val="none" w:sz="0" w:space="0" w:color="auto"/>
        <w:left w:val="none" w:sz="0" w:space="0" w:color="auto"/>
        <w:bottom w:val="none" w:sz="0" w:space="0" w:color="auto"/>
        <w:right w:val="none" w:sz="0" w:space="0" w:color="auto"/>
      </w:divBdr>
    </w:div>
    <w:div w:id="2020426094">
      <w:bodyDiv w:val="1"/>
      <w:marLeft w:val="0"/>
      <w:marRight w:val="0"/>
      <w:marTop w:val="0"/>
      <w:marBottom w:val="0"/>
      <w:divBdr>
        <w:top w:val="none" w:sz="0" w:space="0" w:color="auto"/>
        <w:left w:val="none" w:sz="0" w:space="0" w:color="auto"/>
        <w:bottom w:val="none" w:sz="0" w:space="0" w:color="auto"/>
        <w:right w:val="none" w:sz="0" w:space="0" w:color="auto"/>
      </w:divBdr>
      <w:divsChild>
        <w:div w:id="66443502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1956</Words>
  <Characters>10371</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Arnfinn Nygaard</dc:creator>
  <cp:keywords/>
  <dc:description/>
  <cp:lastModifiedBy>Marianne Støle-Nilsen</cp:lastModifiedBy>
  <cp:revision>2</cp:revision>
  <cp:lastPrinted>2018-09-13T09:20:00Z</cp:lastPrinted>
  <dcterms:created xsi:type="dcterms:W3CDTF">2018-11-13T12:27:00Z</dcterms:created>
  <dcterms:modified xsi:type="dcterms:W3CDTF">2018-11-13T12:27:00Z</dcterms:modified>
</cp:coreProperties>
</file>